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360" w:lineRule="auto"/>
        <w:jc w:val="center"/>
        <w:rPr>
          <w:color w:val="000000" w:themeColor="text1"/>
          <w:sz w:val="28"/>
          <w14:textFill>
            <w14:solidFill>
              <w14:schemeClr w14:val="tx1"/>
            </w14:solidFill>
          </w14:textFill>
        </w:rPr>
      </w:pPr>
    </w:p>
    <w:p>
      <w:pPr>
        <w:spacing w:line="360" w:lineRule="auto"/>
        <w:jc w:val="center"/>
        <w:rPr>
          <w:color w:val="000000" w:themeColor="text1"/>
          <w:sz w:val="28"/>
          <w14:textFill>
            <w14:solidFill>
              <w14:schemeClr w14:val="tx1"/>
            </w14:solidFill>
          </w14:textFill>
        </w:rPr>
      </w:pPr>
    </w:p>
    <w:p>
      <w:pPr>
        <w:spacing w:line="360" w:lineRule="auto"/>
        <w:jc w:val="center"/>
        <w:rPr>
          <w:color w:val="000000" w:themeColor="text1"/>
          <w:sz w:val="28"/>
          <w14:textFill>
            <w14:solidFill>
              <w14:schemeClr w14:val="tx1"/>
            </w14:solidFill>
          </w14:textFill>
        </w:rPr>
      </w:pPr>
    </w:p>
    <w:p>
      <w:pPr>
        <w:spacing w:line="360" w:lineRule="auto"/>
        <w:jc w:val="center"/>
        <w:rPr>
          <w:color w:val="000000" w:themeColor="text1"/>
          <w:sz w:val="28"/>
          <w14:textFill>
            <w14:solidFill>
              <w14:schemeClr w14:val="tx1"/>
            </w14:solidFill>
          </w14:textFill>
        </w:rPr>
      </w:pPr>
    </w:p>
    <w:p>
      <w:pPr>
        <w:spacing w:line="360" w:lineRule="auto"/>
        <w:jc w:val="center"/>
        <w:rPr>
          <w:color w:val="000000" w:themeColor="text1"/>
          <w:sz w:val="28"/>
          <w14:textFill>
            <w14:solidFill>
              <w14:schemeClr w14:val="tx1"/>
            </w14:solidFill>
          </w14:textFill>
        </w:rPr>
      </w:pPr>
    </w:p>
    <w:p>
      <w:pPr>
        <w:spacing w:line="360" w:lineRule="auto"/>
        <w:jc w:val="center"/>
        <w:rPr>
          <w:color w:val="000000" w:themeColor="text1"/>
          <w:sz w:val="28"/>
          <w14:textFill>
            <w14:solidFill>
              <w14:schemeClr w14:val="tx1"/>
            </w14:solidFill>
          </w14:textFill>
        </w:rPr>
      </w:pPr>
    </w:p>
    <w:p>
      <w:pPr>
        <w:spacing w:line="360" w:lineRule="auto"/>
        <w:jc w:val="center"/>
        <w:rPr>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招商中证A50交易型开放式指数证券投资基金发起式联接基金</w:t>
      </w:r>
    </w:p>
    <w:p>
      <w:pPr>
        <w:spacing w:line="360" w:lineRule="auto"/>
        <w:jc w:val="center"/>
        <w:rPr>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托管协议</w:t>
      </w:r>
    </w:p>
    <w:p>
      <w:pPr>
        <w:spacing w:line="360" w:lineRule="auto"/>
        <w:jc w:val="center"/>
        <w:rPr>
          <w:color w:val="000000" w:themeColor="text1"/>
          <w:sz w:val="28"/>
          <w14:textFill>
            <w14:solidFill>
              <w14:schemeClr w14:val="tx1"/>
            </w14:solidFill>
          </w14:textFill>
        </w:rPr>
      </w:pPr>
    </w:p>
    <w:p>
      <w:pPr>
        <w:spacing w:line="360" w:lineRule="auto"/>
        <w:jc w:val="center"/>
        <w:rPr>
          <w:color w:val="000000" w:themeColor="text1"/>
          <w:sz w:val="28"/>
          <w14:textFill>
            <w14:solidFill>
              <w14:schemeClr w14:val="tx1"/>
            </w14:solidFill>
          </w14:textFill>
        </w:rPr>
      </w:pPr>
    </w:p>
    <w:p>
      <w:pPr>
        <w:spacing w:line="360" w:lineRule="auto"/>
        <w:jc w:val="center"/>
        <w:rPr>
          <w:color w:val="000000" w:themeColor="text1"/>
          <w:sz w:val="28"/>
          <w14:textFill>
            <w14:solidFill>
              <w14:schemeClr w14:val="tx1"/>
            </w14:solidFill>
          </w14:textFill>
        </w:rPr>
      </w:pPr>
    </w:p>
    <w:p>
      <w:pPr>
        <w:spacing w:line="360" w:lineRule="auto"/>
        <w:jc w:val="center"/>
        <w:rPr>
          <w:color w:val="000000" w:themeColor="text1"/>
          <w:sz w:val="28"/>
          <w14:textFill>
            <w14:solidFill>
              <w14:schemeClr w14:val="tx1"/>
            </w14:solidFill>
          </w14:textFill>
        </w:rPr>
      </w:pPr>
    </w:p>
    <w:p>
      <w:pPr>
        <w:spacing w:line="360" w:lineRule="auto"/>
        <w:jc w:val="center"/>
        <w:rPr>
          <w:color w:val="000000" w:themeColor="text1"/>
          <w:sz w:val="28"/>
          <w14:textFill>
            <w14:solidFill>
              <w14:schemeClr w14:val="tx1"/>
            </w14:solidFill>
          </w14:textFill>
        </w:rPr>
      </w:pPr>
    </w:p>
    <w:p>
      <w:pPr>
        <w:spacing w:line="360" w:lineRule="auto"/>
        <w:jc w:val="center"/>
        <w:rPr>
          <w:color w:val="000000" w:themeColor="text1"/>
          <w:sz w:val="28"/>
          <w14:textFill>
            <w14:solidFill>
              <w14:schemeClr w14:val="tx1"/>
            </w14:solidFill>
          </w14:textFill>
        </w:rPr>
      </w:pPr>
    </w:p>
    <w:p>
      <w:pPr>
        <w:spacing w:line="360" w:lineRule="auto"/>
        <w:jc w:val="center"/>
        <w:rPr>
          <w:color w:val="000000" w:themeColor="text1"/>
          <w:sz w:val="28"/>
          <w14:textFill>
            <w14:solidFill>
              <w14:schemeClr w14:val="tx1"/>
            </w14:solidFill>
          </w14:textFill>
        </w:rPr>
      </w:pPr>
    </w:p>
    <w:p>
      <w:pPr>
        <w:spacing w:line="360" w:lineRule="auto"/>
        <w:ind w:firstLine="1960" w:firstLineChars="700"/>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基金管理人：招商基金管理有限公司</w:t>
      </w:r>
    </w:p>
    <w:p>
      <w:pPr>
        <w:spacing w:line="360" w:lineRule="auto"/>
        <w:ind w:firstLine="1960" w:firstLineChars="700"/>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基金托管人：中国建设银行股份有限公司</w:t>
      </w:r>
    </w:p>
    <w:p>
      <w:pPr>
        <w:spacing w:line="360" w:lineRule="auto"/>
        <w:ind w:firstLine="2520" w:firstLineChars="900"/>
        <w:rPr>
          <w:color w:val="000000" w:themeColor="text1"/>
          <w:sz w:val="28"/>
          <w14:textFill>
            <w14:solidFill>
              <w14:schemeClr w14:val="tx1"/>
            </w14:solidFill>
          </w14:textFill>
        </w:rPr>
      </w:pPr>
    </w:p>
    <w:p>
      <w:pPr>
        <w:spacing w:line="360" w:lineRule="auto"/>
        <w:ind w:firstLine="2520" w:firstLineChars="900"/>
        <w:rPr>
          <w:color w:val="000000" w:themeColor="text1"/>
          <w:sz w:val="28"/>
          <w14:textFill>
            <w14:solidFill>
              <w14:schemeClr w14:val="tx1"/>
            </w14:solidFill>
          </w14:textFill>
        </w:rPr>
      </w:pPr>
    </w:p>
    <w:p>
      <w:pPr>
        <w:spacing w:line="360" w:lineRule="auto"/>
        <w:rPr>
          <w:color w:val="000000" w:themeColor="text1"/>
          <w:sz w:val="28"/>
          <w14:textFill>
            <w14:solidFill>
              <w14:schemeClr w14:val="tx1"/>
            </w14:solidFill>
          </w14:textFill>
        </w:rPr>
        <w:sectPr>
          <w:footerReference r:id="rId3" w:type="default"/>
          <w:pgSz w:w="11906" w:h="16838"/>
          <w:pgMar w:top="1440" w:right="1797" w:bottom="1440" w:left="1797" w:header="851" w:footer="992" w:gutter="0"/>
          <w:cols w:space="425" w:num="1"/>
          <w:docGrid w:type="lines" w:linePitch="312" w:charSpace="0"/>
        </w:sectPr>
      </w:pPr>
    </w:p>
    <w:p>
      <w:pPr>
        <w:spacing w:line="360" w:lineRule="auto"/>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目录</w:t>
      </w:r>
    </w:p>
    <w:p>
      <w:pPr>
        <w:spacing w:line="360" w:lineRule="auto"/>
        <w:jc w:val="center"/>
        <w:rPr>
          <w:b/>
          <w:bCs/>
          <w:color w:val="000000" w:themeColor="text1"/>
          <w:sz w:val="24"/>
          <w14:textFill>
            <w14:solidFill>
              <w14:schemeClr w14:val="tx1"/>
            </w14:solidFill>
          </w14:textFill>
        </w:rPr>
      </w:pPr>
    </w:p>
    <w:p>
      <w:pPr>
        <w:pStyle w:val="10"/>
        <w:rPr>
          <w:rFonts w:asciiTheme="minorHAnsi" w:hAnsiTheme="minorHAnsi" w:eastAsiaTheme="minorEastAsia" w:cstheme="minorBidi"/>
          <w:caps w:val="0"/>
          <w:szCs w:val="22"/>
        </w:rPr>
      </w:pPr>
      <w:r>
        <w:rPr>
          <w:b/>
          <w:bCs/>
          <w:color w:val="000000" w:themeColor="text1"/>
          <w14:textFill>
            <w14:solidFill>
              <w14:schemeClr w14:val="tx1"/>
            </w14:solidFill>
          </w14:textFill>
        </w:rPr>
        <w:fldChar w:fldCharType="begin"/>
      </w:r>
      <w:r>
        <w:rPr>
          <w:b/>
          <w:bCs/>
          <w:color w:val="000000" w:themeColor="text1"/>
          <w14:textFill>
            <w14:solidFill>
              <w14:schemeClr w14:val="tx1"/>
            </w14:solidFill>
          </w14:textFill>
        </w:rPr>
        <w:instrText xml:space="preserve"> TOC \o "1-3" \h \z </w:instrText>
      </w:r>
      <w:r>
        <w:rPr>
          <w:b/>
          <w:bCs/>
          <w:color w:val="000000" w:themeColor="text1"/>
          <w14:textFill>
            <w14:solidFill>
              <w14:schemeClr w14:val="tx1"/>
            </w14:solidFill>
          </w14:textFill>
        </w:rPr>
        <w:fldChar w:fldCharType="separate"/>
      </w:r>
      <w:r>
        <w:fldChar w:fldCharType="begin"/>
      </w:r>
      <w:r>
        <w:instrText xml:space="preserve"> HYPERLINK \l "_Toc170895811" </w:instrText>
      </w:r>
      <w:r>
        <w:fldChar w:fldCharType="separate"/>
      </w:r>
      <w:r>
        <w:rPr>
          <w:rStyle w:val="14"/>
          <w:rFonts w:ascii="宋体"/>
          <w:kern w:val="0"/>
        </w:rPr>
        <w:t>一、</w:t>
      </w:r>
      <w:r>
        <w:rPr>
          <w:rFonts w:asciiTheme="minorHAnsi" w:hAnsiTheme="minorHAnsi" w:eastAsiaTheme="minorEastAsia" w:cstheme="minorBidi"/>
          <w:caps w:val="0"/>
          <w:szCs w:val="22"/>
        </w:rPr>
        <w:tab/>
      </w:r>
      <w:r>
        <w:rPr>
          <w:rStyle w:val="14"/>
          <w:rFonts w:ascii="宋体"/>
          <w:kern w:val="0"/>
        </w:rPr>
        <w:t>托管协议当事人</w:t>
      </w:r>
      <w:r>
        <w:tab/>
      </w:r>
      <w:r>
        <w:fldChar w:fldCharType="begin"/>
      </w:r>
      <w:r>
        <w:instrText xml:space="preserve"> PAGEREF _Toc170895811 \h </w:instrText>
      </w:r>
      <w:r>
        <w:fldChar w:fldCharType="separate"/>
      </w:r>
      <w:r>
        <w:t>1</w:t>
      </w:r>
      <w:r>
        <w:fldChar w:fldCharType="end"/>
      </w:r>
      <w:r>
        <w:fldChar w:fldCharType="end"/>
      </w:r>
    </w:p>
    <w:p>
      <w:pPr>
        <w:pStyle w:val="10"/>
        <w:rPr>
          <w:rFonts w:asciiTheme="minorHAnsi" w:hAnsiTheme="minorHAnsi" w:eastAsiaTheme="minorEastAsia" w:cstheme="minorBidi"/>
          <w:caps w:val="0"/>
          <w:szCs w:val="22"/>
        </w:rPr>
      </w:pPr>
      <w:r>
        <w:fldChar w:fldCharType="begin"/>
      </w:r>
      <w:r>
        <w:instrText xml:space="preserve"> HYPERLINK \l "_Toc170895812" </w:instrText>
      </w:r>
      <w:r>
        <w:fldChar w:fldCharType="separate"/>
      </w:r>
      <w:r>
        <w:rPr>
          <w:rStyle w:val="14"/>
          <w:rFonts w:ascii="宋体"/>
          <w:kern w:val="0"/>
        </w:rPr>
        <w:t>二、</w:t>
      </w:r>
      <w:r>
        <w:rPr>
          <w:rFonts w:asciiTheme="minorHAnsi" w:hAnsiTheme="minorHAnsi" w:eastAsiaTheme="minorEastAsia" w:cstheme="minorBidi"/>
          <w:caps w:val="0"/>
          <w:szCs w:val="22"/>
        </w:rPr>
        <w:tab/>
      </w:r>
      <w:r>
        <w:rPr>
          <w:rStyle w:val="14"/>
          <w:rFonts w:ascii="宋体"/>
          <w:kern w:val="0"/>
        </w:rPr>
        <w:t>托管协议的依据、目的、原则和解释</w:t>
      </w:r>
      <w:r>
        <w:tab/>
      </w:r>
      <w:r>
        <w:fldChar w:fldCharType="begin"/>
      </w:r>
      <w:r>
        <w:instrText xml:space="preserve"> PAGEREF _Toc170895812 \h </w:instrText>
      </w:r>
      <w:r>
        <w:fldChar w:fldCharType="separate"/>
      </w:r>
      <w:r>
        <w:t>2</w:t>
      </w:r>
      <w:r>
        <w:fldChar w:fldCharType="end"/>
      </w:r>
      <w:r>
        <w:fldChar w:fldCharType="end"/>
      </w:r>
    </w:p>
    <w:p>
      <w:pPr>
        <w:pStyle w:val="10"/>
        <w:rPr>
          <w:rFonts w:asciiTheme="minorHAnsi" w:hAnsiTheme="minorHAnsi" w:eastAsiaTheme="minorEastAsia" w:cstheme="minorBidi"/>
          <w:caps w:val="0"/>
          <w:szCs w:val="22"/>
        </w:rPr>
      </w:pPr>
      <w:r>
        <w:fldChar w:fldCharType="begin"/>
      </w:r>
      <w:r>
        <w:instrText xml:space="preserve"> HYPERLINK \l "_Toc170895813" </w:instrText>
      </w:r>
      <w:r>
        <w:fldChar w:fldCharType="separate"/>
      </w:r>
      <w:r>
        <w:rPr>
          <w:rStyle w:val="14"/>
          <w:rFonts w:ascii="宋体"/>
          <w:kern w:val="0"/>
        </w:rPr>
        <w:t>三、</w:t>
      </w:r>
      <w:r>
        <w:rPr>
          <w:rFonts w:asciiTheme="minorHAnsi" w:hAnsiTheme="minorHAnsi" w:eastAsiaTheme="minorEastAsia" w:cstheme="minorBidi"/>
          <w:caps w:val="0"/>
          <w:szCs w:val="22"/>
        </w:rPr>
        <w:tab/>
      </w:r>
      <w:r>
        <w:rPr>
          <w:rStyle w:val="14"/>
          <w:rFonts w:ascii="宋体"/>
          <w:kern w:val="0"/>
        </w:rPr>
        <w:t>基金托管人对基金管理人的业务监督和核查</w:t>
      </w:r>
      <w:r>
        <w:tab/>
      </w:r>
      <w:r>
        <w:fldChar w:fldCharType="begin"/>
      </w:r>
      <w:r>
        <w:instrText xml:space="preserve"> PAGEREF _Toc170895813 \h </w:instrText>
      </w:r>
      <w:r>
        <w:fldChar w:fldCharType="separate"/>
      </w:r>
      <w:r>
        <w:t>3</w:t>
      </w:r>
      <w:r>
        <w:fldChar w:fldCharType="end"/>
      </w:r>
      <w:r>
        <w:fldChar w:fldCharType="end"/>
      </w:r>
    </w:p>
    <w:p>
      <w:pPr>
        <w:pStyle w:val="10"/>
        <w:rPr>
          <w:rFonts w:asciiTheme="minorHAnsi" w:hAnsiTheme="minorHAnsi" w:eastAsiaTheme="minorEastAsia" w:cstheme="minorBidi"/>
          <w:caps w:val="0"/>
          <w:szCs w:val="22"/>
        </w:rPr>
      </w:pPr>
      <w:r>
        <w:fldChar w:fldCharType="begin"/>
      </w:r>
      <w:r>
        <w:instrText xml:space="preserve"> HYPERLINK \l "_Toc170895814" </w:instrText>
      </w:r>
      <w:r>
        <w:fldChar w:fldCharType="separate"/>
      </w:r>
      <w:r>
        <w:rPr>
          <w:rStyle w:val="14"/>
          <w:rFonts w:ascii="宋体" w:hAnsi="Calibri" w:cs="宋体"/>
          <w:kern w:val="0"/>
        </w:rPr>
        <w:t>四、</w:t>
      </w:r>
      <w:r>
        <w:rPr>
          <w:rFonts w:asciiTheme="minorHAnsi" w:hAnsiTheme="minorHAnsi" w:eastAsiaTheme="minorEastAsia" w:cstheme="minorBidi"/>
          <w:caps w:val="0"/>
          <w:szCs w:val="22"/>
        </w:rPr>
        <w:tab/>
      </w:r>
      <w:r>
        <w:rPr>
          <w:rStyle w:val="14"/>
          <w:rFonts w:ascii="宋体" w:hAnsi="Calibri" w:cs="宋体"/>
          <w:kern w:val="0"/>
        </w:rPr>
        <w:t>基金管理人对基金托管人的业务核查</w:t>
      </w:r>
      <w:r>
        <w:tab/>
      </w:r>
      <w:r>
        <w:fldChar w:fldCharType="begin"/>
      </w:r>
      <w:r>
        <w:instrText xml:space="preserve"> PAGEREF _Toc170895814 \h </w:instrText>
      </w:r>
      <w:r>
        <w:fldChar w:fldCharType="separate"/>
      </w:r>
      <w:r>
        <w:t>8</w:t>
      </w:r>
      <w:r>
        <w:fldChar w:fldCharType="end"/>
      </w:r>
      <w:r>
        <w:fldChar w:fldCharType="end"/>
      </w:r>
    </w:p>
    <w:p>
      <w:pPr>
        <w:pStyle w:val="10"/>
        <w:rPr>
          <w:rFonts w:asciiTheme="minorHAnsi" w:hAnsiTheme="minorHAnsi" w:eastAsiaTheme="minorEastAsia" w:cstheme="minorBidi"/>
          <w:caps w:val="0"/>
          <w:szCs w:val="22"/>
        </w:rPr>
      </w:pPr>
      <w:r>
        <w:fldChar w:fldCharType="begin"/>
      </w:r>
      <w:r>
        <w:instrText xml:space="preserve"> HYPERLINK \l "_Toc170895815" </w:instrText>
      </w:r>
      <w:r>
        <w:fldChar w:fldCharType="separate"/>
      </w:r>
      <w:r>
        <w:rPr>
          <w:rStyle w:val="14"/>
          <w:rFonts w:ascii="宋体" w:hAnsi="Calibri" w:cs="宋体"/>
          <w:kern w:val="0"/>
        </w:rPr>
        <w:t>五、</w:t>
      </w:r>
      <w:r>
        <w:rPr>
          <w:rFonts w:asciiTheme="minorHAnsi" w:hAnsiTheme="minorHAnsi" w:eastAsiaTheme="minorEastAsia" w:cstheme="minorBidi"/>
          <w:caps w:val="0"/>
          <w:szCs w:val="22"/>
        </w:rPr>
        <w:tab/>
      </w:r>
      <w:r>
        <w:rPr>
          <w:rStyle w:val="14"/>
          <w:rFonts w:ascii="宋体" w:hAnsi="Calibri" w:cs="宋体"/>
          <w:kern w:val="0"/>
        </w:rPr>
        <w:t>基金财产保管</w:t>
      </w:r>
      <w:r>
        <w:tab/>
      </w:r>
      <w:r>
        <w:fldChar w:fldCharType="begin"/>
      </w:r>
      <w:r>
        <w:instrText xml:space="preserve"> PAGEREF _Toc170895815 \h </w:instrText>
      </w:r>
      <w:r>
        <w:fldChar w:fldCharType="separate"/>
      </w:r>
      <w:r>
        <w:t>9</w:t>
      </w:r>
      <w:r>
        <w:fldChar w:fldCharType="end"/>
      </w:r>
      <w:r>
        <w:fldChar w:fldCharType="end"/>
      </w:r>
    </w:p>
    <w:p>
      <w:pPr>
        <w:pStyle w:val="10"/>
        <w:rPr>
          <w:rFonts w:asciiTheme="minorHAnsi" w:hAnsiTheme="minorHAnsi" w:eastAsiaTheme="minorEastAsia" w:cstheme="minorBidi"/>
          <w:caps w:val="0"/>
          <w:szCs w:val="22"/>
        </w:rPr>
      </w:pPr>
      <w:r>
        <w:fldChar w:fldCharType="begin"/>
      </w:r>
      <w:r>
        <w:instrText xml:space="preserve"> HYPERLINK \l "_Toc170895816" </w:instrText>
      </w:r>
      <w:r>
        <w:fldChar w:fldCharType="separate"/>
      </w:r>
      <w:r>
        <w:rPr>
          <w:rStyle w:val="14"/>
          <w:rFonts w:ascii="宋体"/>
          <w:kern w:val="0"/>
        </w:rPr>
        <w:t>六、</w:t>
      </w:r>
      <w:r>
        <w:rPr>
          <w:rFonts w:asciiTheme="minorHAnsi" w:hAnsiTheme="minorHAnsi" w:eastAsiaTheme="minorEastAsia" w:cstheme="minorBidi"/>
          <w:caps w:val="0"/>
          <w:szCs w:val="22"/>
        </w:rPr>
        <w:tab/>
      </w:r>
      <w:r>
        <w:rPr>
          <w:rStyle w:val="14"/>
          <w:rFonts w:ascii="宋体"/>
          <w:kern w:val="0"/>
        </w:rPr>
        <w:t>指令的发送、确认及执行</w:t>
      </w:r>
      <w:r>
        <w:tab/>
      </w:r>
      <w:r>
        <w:fldChar w:fldCharType="begin"/>
      </w:r>
      <w:r>
        <w:instrText xml:space="preserve"> PAGEREF _Toc170895816 \h </w:instrText>
      </w:r>
      <w:r>
        <w:fldChar w:fldCharType="separate"/>
      </w:r>
      <w:r>
        <w:t>13</w:t>
      </w:r>
      <w:r>
        <w:fldChar w:fldCharType="end"/>
      </w:r>
      <w:r>
        <w:fldChar w:fldCharType="end"/>
      </w:r>
    </w:p>
    <w:p>
      <w:pPr>
        <w:pStyle w:val="10"/>
        <w:rPr>
          <w:rFonts w:asciiTheme="minorHAnsi" w:hAnsiTheme="minorHAnsi" w:eastAsiaTheme="minorEastAsia" w:cstheme="minorBidi"/>
          <w:caps w:val="0"/>
          <w:szCs w:val="22"/>
        </w:rPr>
      </w:pPr>
      <w:r>
        <w:fldChar w:fldCharType="begin"/>
      </w:r>
      <w:r>
        <w:instrText xml:space="preserve"> HYPERLINK \l "_Toc170895817" </w:instrText>
      </w:r>
      <w:r>
        <w:fldChar w:fldCharType="separate"/>
      </w:r>
      <w:r>
        <w:rPr>
          <w:rStyle w:val="14"/>
          <w:rFonts w:ascii="宋体"/>
          <w:kern w:val="0"/>
        </w:rPr>
        <w:t>七、</w:t>
      </w:r>
      <w:r>
        <w:rPr>
          <w:rFonts w:asciiTheme="minorHAnsi" w:hAnsiTheme="minorHAnsi" w:eastAsiaTheme="minorEastAsia" w:cstheme="minorBidi"/>
          <w:caps w:val="0"/>
          <w:szCs w:val="22"/>
        </w:rPr>
        <w:tab/>
      </w:r>
      <w:r>
        <w:rPr>
          <w:rStyle w:val="14"/>
          <w:rFonts w:ascii="宋体"/>
          <w:kern w:val="0"/>
        </w:rPr>
        <w:t>交易及清算交收安排</w:t>
      </w:r>
      <w:r>
        <w:tab/>
      </w:r>
      <w:r>
        <w:fldChar w:fldCharType="begin"/>
      </w:r>
      <w:r>
        <w:instrText xml:space="preserve"> PAGEREF _Toc170895817 \h </w:instrText>
      </w:r>
      <w:r>
        <w:fldChar w:fldCharType="separate"/>
      </w:r>
      <w:r>
        <w:t>16</w:t>
      </w:r>
      <w:r>
        <w:fldChar w:fldCharType="end"/>
      </w:r>
      <w:r>
        <w:fldChar w:fldCharType="end"/>
      </w:r>
    </w:p>
    <w:p>
      <w:pPr>
        <w:pStyle w:val="10"/>
        <w:rPr>
          <w:rFonts w:asciiTheme="minorHAnsi" w:hAnsiTheme="minorHAnsi" w:eastAsiaTheme="minorEastAsia" w:cstheme="minorBidi"/>
          <w:caps w:val="0"/>
          <w:szCs w:val="22"/>
        </w:rPr>
      </w:pPr>
      <w:r>
        <w:fldChar w:fldCharType="begin"/>
      </w:r>
      <w:r>
        <w:instrText xml:space="preserve"> HYPERLINK \l "_Toc170895818" </w:instrText>
      </w:r>
      <w:r>
        <w:fldChar w:fldCharType="separate"/>
      </w:r>
      <w:r>
        <w:rPr>
          <w:rStyle w:val="14"/>
          <w:rFonts w:ascii="宋体"/>
          <w:kern w:val="0"/>
        </w:rPr>
        <w:t>八、</w:t>
      </w:r>
      <w:r>
        <w:rPr>
          <w:rFonts w:asciiTheme="minorHAnsi" w:hAnsiTheme="minorHAnsi" w:eastAsiaTheme="minorEastAsia" w:cstheme="minorBidi"/>
          <w:caps w:val="0"/>
          <w:szCs w:val="22"/>
        </w:rPr>
        <w:tab/>
      </w:r>
      <w:r>
        <w:rPr>
          <w:rStyle w:val="14"/>
          <w:rFonts w:ascii="宋体"/>
          <w:kern w:val="0"/>
        </w:rPr>
        <w:t>基金资产净值计算和会计核算</w:t>
      </w:r>
      <w:r>
        <w:tab/>
      </w:r>
      <w:r>
        <w:fldChar w:fldCharType="begin"/>
      </w:r>
      <w:r>
        <w:instrText xml:space="preserve"> PAGEREF _Toc170895818 \h </w:instrText>
      </w:r>
      <w:r>
        <w:fldChar w:fldCharType="separate"/>
      </w:r>
      <w:r>
        <w:t>19</w:t>
      </w:r>
      <w:r>
        <w:fldChar w:fldCharType="end"/>
      </w:r>
      <w:r>
        <w:fldChar w:fldCharType="end"/>
      </w:r>
    </w:p>
    <w:p>
      <w:pPr>
        <w:pStyle w:val="10"/>
        <w:rPr>
          <w:rFonts w:asciiTheme="minorHAnsi" w:hAnsiTheme="minorHAnsi" w:eastAsiaTheme="minorEastAsia" w:cstheme="minorBidi"/>
          <w:caps w:val="0"/>
          <w:szCs w:val="22"/>
        </w:rPr>
      </w:pPr>
      <w:r>
        <w:fldChar w:fldCharType="begin"/>
      </w:r>
      <w:r>
        <w:instrText xml:space="preserve"> HYPERLINK \l "_Toc170895819" </w:instrText>
      </w:r>
      <w:r>
        <w:fldChar w:fldCharType="separate"/>
      </w:r>
      <w:r>
        <w:rPr>
          <w:rStyle w:val="14"/>
        </w:rPr>
        <w:t>九、</w:t>
      </w:r>
      <w:r>
        <w:rPr>
          <w:rFonts w:asciiTheme="minorHAnsi" w:hAnsiTheme="minorHAnsi" w:eastAsiaTheme="minorEastAsia" w:cstheme="minorBidi"/>
          <w:caps w:val="0"/>
          <w:szCs w:val="22"/>
        </w:rPr>
        <w:tab/>
      </w:r>
      <w:r>
        <w:rPr>
          <w:rStyle w:val="14"/>
        </w:rPr>
        <w:t>基金收益分配</w:t>
      </w:r>
      <w:r>
        <w:tab/>
      </w:r>
      <w:r>
        <w:fldChar w:fldCharType="begin"/>
      </w:r>
      <w:r>
        <w:instrText xml:space="preserve"> PAGEREF _Toc170895819 \h </w:instrText>
      </w:r>
      <w:r>
        <w:fldChar w:fldCharType="separate"/>
      </w:r>
      <w:r>
        <w:t>24</w:t>
      </w:r>
      <w:r>
        <w:fldChar w:fldCharType="end"/>
      </w:r>
      <w:r>
        <w:fldChar w:fldCharType="end"/>
      </w:r>
    </w:p>
    <w:p>
      <w:pPr>
        <w:pStyle w:val="10"/>
        <w:rPr>
          <w:rFonts w:asciiTheme="minorHAnsi" w:hAnsiTheme="minorHAnsi" w:eastAsiaTheme="minorEastAsia" w:cstheme="minorBidi"/>
          <w:caps w:val="0"/>
          <w:szCs w:val="22"/>
        </w:rPr>
      </w:pPr>
      <w:r>
        <w:fldChar w:fldCharType="begin"/>
      </w:r>
      <w:r>
        <w:instrText xml:space="preserve"> HYPERLINK \l "_Toc170895820" </w:instrText>
      </w:r>
      <w:r>
        <w:fldChar w:fldCharType="separate"/>
      </w:r>
      <w:r>
        <w:rPr>
          <w:rStyle w:val="14"/>
        </w:rPr>
        <w:t>十、</w:t>
      </w:r>
      <w:r>
        <w:rPr>
          <w:rFonts w:asciiTheme="minorHAnsi" w:hAnsiTheme="minorHAnsi" w:eastAsiaTheme="minorEastAsia" w:cstheme="minorBidi"/>
          <w:caps w:val="0"/>
          <w:szCs w:val="22"/>
        </w:rPr>
        <w:tab/>
      </w:r>
      <w:r>
        <w:rPr>
          <w:rStyle w:val="14"/>
        </w:rPr>
        <w:t>基金信息披露</w:t>
      </w:r>
      <w:r>
        <w:tab/>
      </w:r>
      <w:r>
        <w:fldChar w:fldCharType="begin"/>
      </w:r>
      <w:r>
        <w:instrText xml:space="preserve"> PAGEREF _Toc170895820 \h </w:instrText>
      </w:r>
      <w:r>
        <w:fldChar w:fldCharType="separate"/>
      </w:r>
      <w:r>
        <w:t>25</w:t>
      </w:r>
      <w:r>
        <w:fldChar w:fldCharType="end"/>
      </w:r>
      <w:r>
        <w:fldChar w:fldCharType="end"/>
      </w:r>
    </w:p>
    <w:p>
      <w:pPr>
        <w:pStyle w:val="10"/>
        <w:rPr>
          <w:rFonts w:asciiTheme="minorHAnsi" w:hAnsiTheme="minorHAnsi" w:eastAsiaTheme="minorEastAsia" w:cstheme="minorBidi"/>
          <w:caps w:val="0"/>
          <w:szCs w:val="22"/>
        </w:rPr>
      </w:pPr>
      <w:r>
        <w:fldChar w:fldCharType="begin"/>
      </w:r>
      <w:r>
        <w:instrText xml:space="preserve"> HYPERLINK \l "_Toc170895821" </w:instrText>
      </w:r>
      <w:r>
        <w:fldChar w:fldCharType="separate"/>
      </w:r>
      <w:r>
        <w:rPr>
          <w:rStyle w:val="14"/>
        </w:rPr>
        <w:t>十一、</w:t>
      </w:r>
      <w:r>
        <w:rPr>
          <w:rFonts w:asciiTheme="minorHAnsi" w:hAnsiTheme="minorHAnsi" w:eastAsiaTheme="minorEastAsia" w:cstheme="minorBidi"/>
          <w:caps w:val="0"/>
          <w:szCs w:val="22"/>
        </w:rPr>
        <w:tab/>
      </w:r>
      <w:r>
        <w:rPr>
          <w:rStyle w:val="14"/>
        </w:rPr>
        <w:t>基金费用</w:t>
      </w:r>
      <w:r>
        <w:tab/>
      </w:r>
      <w:r>
        <w:fldChar w:fldCharType="begin"/>
      </w:r>
      <w:r>
        <w:instrText xml:space="preserve"> PAGEREF _Toc170895821 \h </w:instrText>
      </w:r>
      <w:r>
        <w:fldChar w:fldCharType="separate"/>
      </w:r>
      <w:r>
        <w:t>27</w:t>
      </w:r>
      <w:r>
        <w:fldChar w:fldCharType="end"/>
      </w:r>
      <w:r>
        <w:fldChar w:fldCharType="end"/>
      </w:r>
    </w:p>
    <w:p>
      <w:pPr>
        <w:pStyle w:val="10"/>
        <w:rPr>
          <w:rFonts w:asciiTheme="minorHAnsi" w:hAnsiTheme="minorHAnsi" w:eastAsiaTheme="minorEastAsia" w:cstheme="minorBidi"/>
          <w:caps w:val="0"/>
          <w:szCs w:val="22"/>
        </w:rPr>
      </w:pPr>
      <w:r>
        <w:fldChar w:fldCharType="begin"/>
      </w:r>
      <w:r>
        <w:instrText xml:space="preserve"> HYPERLINK \l "_Toc170895822" </w:instrText>
      </w:r>
      <w:r>
        <w:fldChar w:fldCharType="separate"/>
      </w:r>
      <w:r>
        <w:rPr>
          <w:rStyle w:val="14"/>
        </w:rPr>
        <w:t>十二、</w:t>
      </w:r>
      <w:r>
        <w:rPr>
          <w:rFonts w:asciiTheme="minorHAnsi" w:hAnsiTheme="minorHAnsi" w:eastAsiaTheme="minorEastAsia" w:cstheme="minorBidi"/>
          <w:caps w:val="0"/>
          <w:szCs w:val="22"/>
        </w:rPr>
        <w:tab/>
      </w:r>
      <w:r>
        <w:rPr>
          <w:rStyle w:val="14"/>
        </w:rPr>
        <w:t>基金份额持有人名册的保管</w:t>
      </w:r>
      <w:r>
        <w:tab/>
      </w:r>
      <w:r>
        <w:fldChar w:fldCharType="begin"/>
      </w:r>
      <w:r>
        <w:instrText xml:space="preserve"> PAGEREF _Toc170895822 \h </w:instrText>
      </w:r>
      <w:r>
        <w:fldChar w:fldCharType="separate"/>
      </w:r>
      <w:r>
        <w:t>29</w:t>
      </w:r>
      <w:r>
        <w:fldChar w:fldCharType="end"/>
      </w:r>
      <w:r>
        <w:fldChar w:fldCharType="end"/>
      </w:r>
    </w:p>
    <w:p>
      <w:pPr>
        <w:pStyle w:val="10"/>
        <w:rPr>
          <w:rFonts w:asciiTheme="minorHAnsi" w:hAnsiTheme="minorHAnsi" w:eastAsiaTheme="minorEastAsia" w:cstheme="minorBidi"/>
          <w:caps w:val="0"/>
          <w:szCs w:val="22"/>
        </w:rPr>
      </w:pPr>
      <w:r>
        <w:fldChar w:fldCharType="begin"/>
      </w:r>
      <w:r>
        <w:instrText xml:space="preserve"> HYPERLINK \l "_Toc170895823" </w:instrText>
      </w:r>
      <w:r>
        <w:fldChar w:fldCharType="separate"/>
      </w:r>
      <w:r>
        <w:rPr>
          <w:rStyle w:val="14"/>
        </w:rPr>
        <w:t>十三、</w:t>
      </w:r>
      <w:r>
        <w:rPr>
          <w:rFonts w:asciiTheme="minorHAnsi" w:hAnsiTheme="minorHAnsi" w:eastAsiaTheme="minorEastAsia" w:cstheme="minorBidi"/>
          <w:caps w:val="0"/>
          <w:szCs w:val="22"/>
        </w:rPr>
        <w:tab/>
      </w:r>
      <w:r>
        <w:rPr>
          <w:rStyle w:val="14"/>
        </w:rPr>
        <w:t>基金有关文件档案的保存</w:t>
      </w:r>
      <w:r>
        <w:tab/>
      </w:r>
      <w:r>
        <w:fldChar w:fldCharType="begin"/>
      </w:r>
      <w:r>
        <w:instrText xml:space="preserve"> PAGEREF _Toc170895823 \h </w:instrText>
      </w:r>
      <w:r>
        <w:fldChar w:fldCharType="separate"/>
      </w:r>
      <w:r>
        <w:t>30</w:t>
      </w:r>
      <w:r>
        <w:fldChar w:fldCharType="end"/>
      </w:r>
      <w:r>
        <w:fldChar w:fldCharType="end"/>
      </w:r>
    </w:p>
    <w:p>
      <w:pPr>
        <w:pStyle w:val="10"/>
        <w:rPr>
          <w:rFonts w:asciiTheme="minorHAnsi" w:hAnsiTheme="minorHAnsi" w:eastAsiaTheme="minorEastAsia" w:cstheme="minorBidi"/>
          <w:caps w:val="0"/>
          <w:szCs w:val="22"/>
        </w:rPr>
      </w:pPr>
      <w:r>
        <w:fldChar w:fldCharType="begin"/>
      </w:r>
      <w:r>
        <w:instrText xml:space="preserve"> HYPERLINK \l "_Toc170895824" </w:instrText>
      </w:r>
      <w:r>
        <w:fldChar w:fldCharType="separate"/>
      </w:r>
      <w:r>
        <w:rPr>
          <w:rStyle w:val="14"/>
        </w:rPr>
        <w:t>十四、</w:t>
      </w:r>
      <w:r>
        <w:rPr>
          <w:rFonts w:asciiTheme="minorHAnsi" w:hAnsiTheme="minorHAnsi" w:eastAsiaTheme="minorEastAsia" w:cstheme="minorBidi"/>
          <w:caps w:val="0"/>
          <w:szCs w:val="22"/>
        </w:rPr>
        <w:tab/>
      </w:r>
      <w:r>
        <w:rPr>
          <w:rStyle w:val="14"/>
        </w:rPr>
        <w:t>基金托管人和基金管理人的更换</w:t>
      </w:r>
      <w:r>
        <w:tab/>
      </w:r>
      <w:r>
        <w:fldChar w:fldCharType="begin"/>
      </w:r>
      <w:r>
        <w:instrText xml:space="preserve"> PAGEREF _Toc170895824 \h </w:instrText>
      </w:r>
      <w:r>
        <w:fldChar w:fldCharType="separate"/>
      </w:r>
      <w:r>
        <w:t>31</w:t>
      </w:r>
      <w:r>
        <w:fldChar w:fldCharType="end"/>
      </w:r>
      <w:r>
        <w:fldChar w:fldCharType="end"/>
      </w:r>
    </w:p>
    <w:p>
      <w:pPr>
        <w:pStyle w:val="10"/>
        <w:rPr>
          <w:rFonts w:asciiTheme="minorHAnsi" w:hAnsiTheme="minorHAnsi" w:eastAsiaTheme="minorEastAsia" w:cstheme="minorBidi"/>
          <w:caps w:val="0"/>
          <w:szCs w:val="22"/>
        </w:rPr>
      </w:pPr>
      <w:r>
        <w:fldChar w:fldCharType="begin"/>
      </w:r>
      <w:r>
        <w:instrText xml:space="preserve"> HYPERLINK \l "_Toc170895825" </w:instrText>
      </w:r>
      <w:r>
        <w:fldChar w:fldCharType="separate"/>
      </w:r>
      <w:r>
        <w:rPr>
          <w:rStyle w:val="14"/>
        </w:rPr>
        <w:t>十五、</w:t>
      </w:r>
      <w:r>
        <w:rPr>
          <w:rFonts w:asciiTheme="minorHAnsi" w:hAnsiTheme="minorHAnsi" w:eastAsiaTheme="minorEastAsia" w:cstheme="minorBidi"/>
          <w:caps w:val="0"/>
          <w:szCs w:val="22"/>
        </w:rPr>
        <w:tab/>
      </w:r>
      <w:r>
        <w:rPr>
          <w:rStyle w:val="14"/>
        </w:rPr>
        <w:t>禁止行为</w:t>
      </w:r>
      <w:r>
        <w:tab/>
      </w:r>
      <w:r>
        <w:fldChar w:fldCharType="begin"/>
      </w:r>
      <w:r>
        <w:instrText xml:space="preserve"> PAGEREF _Toc170895825 \h </w:instrText>
      </w:r>
      <w:r>
        <w:fldChar w:fldCharType="separate"/>
      </w:r>
      <w:r>
        <w:t>33</w:t>
      </w:r>
      <w:r>
        <w:fldChar w:fldCharType="end"/>
      </w:r>
      <w:r>
        <w:fldChar w:fldCharType="end"/>
      </w:r>
    </w:p>
    <w:p>
      <w:pPr>
        <w:pStyle w:val="10"/>
        <w:rPr>
          <w:rFonts w:asciiTheme="minorHAnsi" w:hAnsiTheme="minorHAnsi" w:eastAsiaTheme="minorEastAsia" w:cstheme="minorBidi"/>
          <w:caps w:val="0"/>
          <w:szCs w:val="22"/>
        </w:rPr>
      </w:pPr>
      <w:r>
        <w:fldChar w:fldCharType="begin"/>
      </w:r>
      <w:r>
        <w:instrText xml:space="preserve"> HYPERLINK \l "_Toc170895826" </w:instrText>
      </w:r>
      <w:r>
        <w:fldChar w:fldCharType="separate"/>
      </w:r>
      <w:r>
        <w:rPr>
          <w:rStyle w:val="14"/>
        </w:rPr>
        <w:t>十六、</w:t>
      </w:r>
      <w:r>
        <w:rPr>
          <w:rFonts w:asciiTheme="minorHAnsi" w:hAnsiTheme="minorHAnsi" w:eastAsiaTheme="minorEastAsia" w:cstheme="minorBidi"/>
          <w:caps w:val="0"/>
          <w:szCs w:val="22"/>
        </w:rPr>
        <w:tab/>
      </w:r>
      <w:r>
        <w:rPr>
          <w:rStyle w:val="14"/>
        </w:rPr>
        <w:t>托管协议的变更、终止与基金财产的清算</w:t>
      </w:r>
      <w:r>
        <w:tab/>
      </w:r>
      <w:r>
        <w:fldChar w:fldCharType="begin"/>
      </w:r>
      <w:r>
        <w:instrText xml:space="preserve"> PAGEREF _Toc170895826 \h </w:instrText>
      </w:r>
      <w:r>
        <w:fldChar w:fldCharType="separate"/>
      </w:r>
      <w:r>
        <w:t>34</w:t>
      </w:r>
      <w:r>
        <w:fldChar w:fldCharType="end"/>
      </w:r>
      <w:r>
        <w:fldChar w:fldCharType="end"/>
      </w:r>
    </w:p>
    <w:p>
      <w:pPr>
        <w:pStyle w:val="10"/>
        <w:rPr>
          <w:rFonts w:asciiTheme="minorHAnsi" w:hAnsiTheme="minorHAnsi" w:eastAsiaTheme="minorEastAsia" w:cstheme="minorBidi"/>
          <w:caps w:val="0"/>
          <w:szCs w:val="22"/>
        </w:rPr>
      </w:pPr>
      <w:r>
        <w:fldChar w:fldCharType="begin"/>
      </w:r>
      <w:r>
        <w:instrText xml:space="preserve"> HYPERLINK \l "_Toc170895827" </w:instrText>
      </w:r>
      <w:r>
        <w:fldChar w:fldCharType="separate"/>
      </w:r>
      <w:r>
        <w:rPr>
          <w:rStyle w:val="14"/>
        </w:rPr>
        <w:t>十七、</w:t>
      </w:r>
      <w:r>
        <w:rPr>
          <w:rFonts w:asciiTheme="minorHAnsi" w:hAnsiTheme="minorHAnsi" w:eastAsiaTheme="minorEastAsia" w:cstheme="minorBidi"/>
          <w:caps w:val="0"/>
          <w:szCs w:val="22"/>
        </w:rPr>
        <w:tab/>
      </w:r>
      <w:r>
        <w:rPr>
          <w:rStyle w:val="14"/>
        </w:rPr>
        <w:t>违约责任和责任划分</w:t>
      </w:r>
      <w:r>
        <w:tab/>
      </w:r>
      <w:r>
        <w:fldChar w:fldCharType="begin"/>
      </w:r>
      <w:r>
        <w:instrText xml:space="preserve"> PAGEREF _Toc170895827 \h </w:instrText>
      </w:r>
      <w:r>
        <w:fldChar w:fldCharType="separate"/>
      </w:r>
      <w:r>
        <w:t>35</w:t>
      </w:r>
      <w:r>
        <w:fldChar w:fldCharType="end"/>
      </w:r>
      <w:r>
        <w:fldChar w:fldCharType="end"/>
      </w:r>
    </w:p>
    <w:p>
      <w:pPr>
        <w:pStyle w:val="10"/>
        <w:rPr>
          <w:rFonts w:asciiTheme="minorHAnsi" w:hAnsiTheme="minorHAnsi" w:eastAsiaTheme="minorEastAsia" w:cstheme="minorBidi"/>
          <w:caps w:val="0"/>
          <w:szCs w:val="22"/>
        </w:rPr>
      </w:pPr>
      <w:r>
        <w:fldChar w:fldCharType="begin"/>
      </w:r>
      <w:r>
        <w:instrText xml:space="preserve"> HYPERLINK \l "_Toc170895828" </w:instrText>
      </w:r>
      <w:r>
        <w:fldChar w:fldCharType="separate"/>
      </w:r>
      <w:r>
        <w:rPr>
          <w:rStyle w:val="14"/>
        </w:rPr>
        <w:t>十八、</w:t>
      </w:r>
      <w:r>
        <w:rPr>
          <w:rFonts w:asciiTheme="minorHAnsi" w:hAnsiTheme="minorHAnsi" w:eastAsiaTheme="minorEastAsia" w:cstheme="minorBidi"/>
          <w:caps w:val="0"/>
          <w:szCs w:val="22"/>
        </w:rPr>
        <w:tab/>
      </w:r>
      <w:r>
        <w:rPr>
          <w:rStyle w:val="14"/>
        </w:rPr>
        <w:t>适用法律与争议解决方式</w:t>
      </w:r>
      <w:r>
        <w:tab/>
      </w:r>
      <w:r>
        <w:fldChar w:fldCharType="begin"/>
      </w:r>
      <w:r>
        <w:instrText xml:space="preserve"> PAGEREF _Toc170895828 \h </w:instrText>
      </w:r>
      <w:r>
        <w:fldChar w:fldCharType="separate"/>
      </w:r>
      <w:r>
        <w:t>36</w:t>
      </w:r>
      <w:r>
        <w:fldChar w:fldCharType="end"/>
      </w:r>
      <w:r>
        <w:fldChar w:fldCharType="end"/>
      </w:r>
    </w:p>
    <w:p>
      <w:pPr>
        <w:pStyle w:val="10"/>
        <w:rPr>
          <w:rFonts w:asciiTheme="minorHAnsi" w:hAnsiTheme="minorHAnsi" w:eastAsiaTheme="minorEastAsia" w:cstheme="minorBidi"/>
          <w:caps w:val="0"/>
          <w:szCs w:val="22"/>
        </w:rPr>
      </w:pPr>
      <w:r>
        <w:fldChar w:fldCharType="begin"/>
      </w:r>
      <w:r>
        <w:instrText xml:space="preserve"> HYPERLINK \l "_Toc170895829" </w:instrText>
      </w:r>
      <w:r>
        <w:fldChar w:fldCharType="separate"/>
      </w:r>
      <w:r>
        <w:rPr>
          <w:rStyle w:val="14"/>
        </w:rPr>
        <w:t>十九、</w:t>
      </w:r>
      <w:r>
        <w:rPr>
          <w:rFonts w:asciiTheme="minorHAnsi" w:hAnsiTheme="minorHAnsi" w:eastAsiaTheme="minorEastAsia" w:cstheme="minorBidi"/>
          <w:caps w:val="0"/>
          <w:szCs w:val="22"/>
        </w:rPr>
        <w:tab/>
      </w:r>
      <w:r>
        <w:rPr>
          <w:rStyle w:val="14"/>
        </w:rPr>
        <w:t>托管协议的效力</w:t>
      </w:r>
      <w:r>
        <w:tab/>
      </w:r>
      <w:r>
        <w:fldChar w:fldCharType="begin"/>
      </w:r>
      <w:r>
        <w:instrText xml:space="preserve"> PAGEREF _Toc170895829 \h </w:instrText>
      </w:r>
      <w:r>
        <w:fldChar w:fldCharType="separate"/>
      </w:r>
      <w:r>
        <w:t>36</w:t>
      </w:r>
      <w:r>
        <w:fldChar w:fldCharType="end"/>
      </w:r>
      <w:r>
        <w:fldChar w:fldCharType="end"/>
      </w:r>
    </w:p>
    <w:p>
      <w:pPr>
        <w:pStyle w:val="10"/>
        <w:rPr>
          <w:rFonts w:asciiTheme="minorHAnsi" w:hAnsiTheme="minorHAnsi" w:eastAsiaTheme="minorEastAsia" w:cstheme="minorBidi"/>
          <w:caps w:val="0"/>
          <w:szCs w:val="22"/>
        </w:rPr>
      </w:pPr>
      <w:r>
        <w:fldChar w:fldCharType="begin"/>
      </w:r>
      <w:r>
        <w:instrText xml:space="preserve"> HYPERLINK \l "_Toc170895830" </w:instrText>
      </w:r>
      <w:r>
        <w:fldChar w:fldCharType="separate"/>
      </w:r>
      <w:r>
        <w:rPr>
          <w:rStyle w:val="14"/>
        </w:rPr>
        <w:t>二十、</w:t>
      </w:r>
      <w:r>
        <w:rPr>
          <w:rFonts w:asciiTheme="minorHAnsi" w:hAnsiTheme="minorHAnsi" w:eastAsiaTheme="minorEastAsia" w:cstheme="minorBidi"/>
          <w:caps w:val="0"/>
          <w:szCs w:val="22"/>
        </w:rPr>
        <w:tab/>
      </w:r>
      <w:r>
        <w:rPr>
          <w:rStyle w:val="14"/>
        </w:rPr>
        <w:t>托管协议的签订</w:t>
      </w:r>
      <w:r>
        <w:tab/>
      </w:r>
      <w:r>
        <w:fldChar w:fldCharType="begin"/>
      </w:r>
      <w:r>
        <w:instrText xml:space="preserve"> PAGEREF _Toc170895830 \h </w:instrText>
      </w:r>
      <w:r>
        <w:fldChar w:fldCharType="separate"/>
      </w:r>
      <w:r>
        <w:t>37</w:t>
      </w:r>
      <w:r>
        <w:fldChar w:fldCharType="end"/>
      </w:r>
      <w:r>
        <w:fldChar w:fldCharType="end"/>
      </w:r>
    </w:p>
    <w:p>
      <w:pPr>
        <w:spacing w:line="360" w:lineRule="auto"/>
        <w:ind w:firstLine="1890" w:firstLineChars="900"/>
        <w:jc w:val="left"/>
        <w:rPr>
          <w:color w:val="000000" w:themeColor="text1"/>
          <w:sz w:val="28"/>
          <w14:textFill>
            <w14:solidFill>
              <w14:schemeClr w14:val="tx1"/>
            </w14:solidFill>
          </w14:textFill>
        </w:rPr>
      </w:pPr>
      <w:r>
        <w:rPr>
          <w:color w:val="000000" w:themeColor="text1"/>
          <w14:textFill>
            <w14:solidFill>
              <w14:schemeClr w14:val="tx1"/>
            </w14:solidFill>
          </w14:textFill>
        </w:rPr>
        <w:fldChar w:fldCharType="end"/>
      </w:r>
    </w:p>
    <w:p>
      <w:pPr>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sectPr>
          <w:headerReference r:id="rId4" w:type="default"/>
          <w:pgSz w:w="11906" w:h="16838"/>
          <w:pgMar w:top="1440" w:right="1800" w:bottom="1440" w:left="1800" w:header="851" w:footer="992" w:gutter="0"/>
          <w:cols w:space="425" w:num="1"/>
          <w:docGrid w:type="lines" w:linePitch="312" w:charSpace="0"/>
        </w:sectPr>
      </w:pP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鉴于招商基金管理有限公司（以下简称“招商基金”）是一家依照中国法律合法成立并有效存续的有限责任公司，按照相关法律法规的规定具备担任基金管理人的资格和能力；</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鉴于中国建设银行股份有限公司是一家依照中国法律合法成立并有效存续的银行，按照相关法律法规的规定具备担任基金托管人的资格和能力；</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鉴于招商基金为招商中证A50交易型开放式指数证券投资基金发起式联接基金的基金管理人，中国建设银行股份有限公司为招商中证A50交易型开放式指数证券投资基金发起式联接基金的基金托管人；</w:t>
      </w:r>
    </w:p>
    <w:p>
      <w:pPr>
        <w:pStyle w:val="6"/>
        <w:rPr>
          <w:color w:val="000000" w:themeColor="text1"/>
          <w14:textFill>
            <w14:solidFill>
              <w14:schemeClr w14:val="tx1"/>
            </w14:solidFill>
          </w14:textFill>
        </w:rPr>
      </w:pPr>
      <w:r>
        <w:rPr>
          <w:rFonts w:hint="eastAsia"/>
          <w:color w:val="000000" w:themeColor="text1"/>
          <w14:textFill>
            <w14:solidFill>
              <w14:schemeClr w14:val="tx1"/>
            </w14:solidFill>
          </w14:textFill>
        </w:rPr>
        <w:t>为明确招商中证A50交易型开放式指数证券投资基金发起式联接基金基金管理人和基金托管人之间的权利义务关系，特制订本协议。</w:t>
      </w:r>
    </w:p>
    <w:p>
      <w:pPr>
        <w:pStyle w:val="2"/>
        <w:spacing w:before="120" w:after="120" w:line="360" w:lineRule="auto"/>
        <w:rPr>
          <w:rFonts w:ascii="宋体"/>
          <w:bCs w:val="0"/>
          <w:color w:val="000000" w:themeColor="text1"/>
          <w:kern w:val="0"/>
          <w:sz w:val="24"/>
          <w:szCs w:val="24"/>
          <w14:textFill>
            <w14:solidFill>
              <w14:schemeClr w14:val="tx1"/>
            </w14:solidFill>
          </w14:textFill>
        </w:rPr>
      </w:pPr>
      <w:bookmarkStart w:id="0" w:name="_Toc394473996"/>
    </w:p>
    <w:p>
      <w:pPr>
        <w:pStyle w:val="2"/>
        <w:numPr>
          <w:ilvl w:val="0"/>
          <w:numId w:val="1"/>
        </w:numPr>
        <w:spacing w:before="120" w:after="120" w:line="360" w:lineRule="auto"/>
        <w:jc w:val="center"/>
        <w:rPr>
          <w:rFonts w:ascii="宋体"/>
          <w:bCs w:val="0"/>
          <w:color w:val="000000" w:themeColor="text1"/>
          <w:kern w:val="0"/>
          <w:sz w:val="24"/>
          <w:szCs w:val="24"/>
          <w14:textFill>
            <w14:solidFill>
              <w14:schemeClr w14:val="tx1"/>
            </w14:solidFill>
          </w14:textFill>
        </w:rPr>
      </w:pPr>
      <w:bookmarkStart w:id="1" w:name="_Toc170895811"/>
      <w:r>
        <w:rPr>
          <w:rFonts w:hint="eastAsia" w:ascii="宋体"/>
          <w:bCs w:val="0"/>
          <w:color w:val="000000" w:themeColor="text1"/>
          <w:kern w:val="0"/>
          <w:sz w:val="24"/>
          <w:szCs w:val="24"/>
          <w14:textFill>
            <w14:solidFill>
              <w14:schemeClr w14:val="tx1"/>
            </w14:solidFill>
          </w14:textFill>
        </w:rPr>
        <w:t>托管协议当事人</w:t>
      </w:r>
      <w:bookmarkEnd w:id="0"/>
      <w:bookmarkEnd w:id="1"/>
    </w:p>
    <w:p>
      <w:pPr>
        <w:pStyle w:val="18"/>
        <w:numPr>
          <w:ilvl w:val="0"/>
          <w:numId w:val="2"/>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基金管理人</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或简称“管理人”</w:t>
      </w:r>
      <w:r>
        <w:rPr>
          <w:color w:val="000000" w:themeColor="text1"/>
          <w14:textFill>
            <w14:solidFill>
              <w14:schemeClr w14:val="tx1"/>
            </w14:solidFill>
          </w14:textFill>
        </w:rPr>
        <w:t>)</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名称：招商基金管理有限公司</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注册地址：深圳市福田区深南大道7088号</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办公地址：深圳市福田区深南大道7088号</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法定代表人：王小青</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成立时间：2002年12月27日</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批准设立机关：中国证券监督管理委员会</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批准设立文号：中国证券监督管理委员会证监基金字[2002]100号</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组织形式：有限责任公司</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注册资本：13.1亿元人民币</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存续期间：持续经营</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经营范围：基金管理业务，发起设立基金，中国证监会批准的其他业务。（依法须经批准的项目，经相关部门批准后方可开展经营活动）</w:t>
      </w:r>
    </w:p>
    <w:p>
      <w:pPr>
        <w:pStyle w:val="18"/>
        <w:numPr>
          <w:ilvl w:val="0"/>
          <w:numId w:val="2"/>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基金托管人(或简称“托管人”)</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名称：中国建设银行股份有限公司</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住所：北京市西城区金融大街25号</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办公地址：北京市西城区闹市口大街1号院1号楼</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邮政编码：100033</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法定代表人：张金良</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成立日期：2004年09月17日</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基金托管业务批准文号：中国证监会证监基字[1998]12号</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组织形式：股份有限公司</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注册资本：贰仟伍佰亿壹仟零玖拾柒万柒仟肆佰捌拾陆元整</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存续期间：持续经营</w:t>
      </w:r>
    </w:p>
    <w:p>
      <w:pPr>
        <w:spacing w:line="360" w:lineRule="auto"/>
        <w:ind w:firstLine="420" w:firstLineChars="200"/>
      </w:pPr>
      <w:r>
        <w:rPr>
          <w:rFonts w:hint="eastAsia"/>
          <w:color w:val="000000" w:themeColor="text1"/>
          <w14:textFill>
            <w14:solidFill>
              <w14:schemeClr w14:val="tx1"/>
            </w14:solidFill>
          </w14:textFill>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bookmarkStart w:id="2" w:name="_Toc394473997"/>
    </w:p>
    <w:p>
      <w:pPr>
        <w:pStyle w:val="2"/>
        <w:numPr>
          <w:ilvl w:val="0"/>
          <w:numId w:val="1"/>
        </w:numPr>
        <w:spacing w:before="120" w:after="120" w:line="360" w:lineRule="auto"/>
        <w:jc w:val="center"/>
        <w:rPr>
          <w:rFonts w:ascii="宋体"/>
          <w:bCs w:val="0"/>
          <w:color w:val="000000" w:themeColor="text1"/>
          <w:kern w:val="0"/>
          <w:sz w:val="21"/>
          <w:szCs w:val="20"/>
          <w14:textFill>
            <w14:solidFill>
              <w14:schemeClr w14:val="tx1"/>
            </w14:solidFill>
          </w14:textFill>
        </w:rPr>
      </w:pPr>
      <w:bookmarkStart w:id="3" w:name="_Toc170895812"/>
      <w:r>
        <w:rPr>
          <w:rFonts w:hint="eastAsia" w:ascii="宋体"/>
          <w:bCs w:val="0"/>
          <w:color w:val="000000" w:themeColor="text1"/>
          <w:kern w:val="0"/>
          <w:sz w:val="21"/>
          <w:szCs w:val="20"/>
          <w14:textFill>
            <w14:solidFill>
              <w14:schemeClr w14:val="tx1"/>
            </w14:solidFill>
          </w14:textFill>
        </w:rPr>
        <w:t>托管协议的依据、目的、原则和解释</w:t>
      </w:r>
      <w:bookmarkEnd w:id="2"/>
      <w:bookmarkEnd w:id="3"/>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（一）依据</w:t>
      </w:r>
    </w:p>
    <w:p>
      <w:pPr>
        <w:autoSpaceDE w:val="0"/>
        <w:autoSpaceDN w:val="0"/>
        <w:adjustRightIn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协议依据《中华人民共和国民法典》、《中华人民共和国证券投资基金法》（以下简称“《基金法》”）、《公开募集证券投资基金运作管理办法》（以下简称“《运作办法》”）、《公开募集证券投资基金销售机构监督管理办法》、《公开募集证券投资基金信息披露管理办法》（以下简称“《信息披露办法》”）、《公开募集开放式证券投资基金流动性风险管理规定》（以下简称“《流动性风险管理规定》”）、《公开募集证券投资基金运作指引第3号——指数基金指引》</w:t>
      </w:r>
      <w:r>
        <w:rPr>
          <w:rFonts w:hint="eastAsia"/>
        </w:rPr>
        <w:t>、</w:t>
      </w:r>
      <w:r>
        <w:rPr>
          <w:rFonts w:hint="eastAsia"/>
          <w:color w:val="000000" w:themeColor="text1"/>
          <w14:textFill>
            <w14:solidFill>
              <w14:schemeClr w14:val="tx1"/>
            </w14:solidFill>
          </w14:textFill>
        </w:rPr>
        <w:t>《招商中证A50交易型开放式指数证券投资基金发起式联接基金基金合同》（以下简称《基金合同》）及其他有关法律、法规制定。</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（二）目的</w:t>
      </w:r>
    </w:p>
    <w:p>
      <w:pPr>
        <w:autoSpaceDE w:val="0"/>
        <w:autoSpaceDN w:val="0"/>
        <w:adjustRightIn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订立本协议的目的是明确基金托管人与基金管理人之间在基金财产的保管、投资运作、净值计算、收益分配、信息披露及相互监督等有关事宜中的权利、义务及职责，确保基金财产的安全，保护基金份额持有人的合法权益。</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（三）原则</w:t>
      </w:r>
    </w:p>
    <w:p>
      <w:pPr>
        <w:autoSpaceDE w:val="0"/>
        <w:autoSpaceDN w:val="0"/>
        <w:adjustRightIn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基金管理人和基金托管人本着平等自愿、诚实信用、充分保护基金份额持有人合法权益的原则，经协商一致，签订本协议。</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（四）解释</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除非本协议另有约定，本协议所有术语与《基金合同》的相应术语具有相同含义。若有抵触，应以《基金合同》为准。</w:t>
      </w:r>
    </w:p>
    <w:p>
      <w:pPr>
        <w:pStyle w:val="2"/>
        <w:numPr>
          <w:ilvl w:val="0"/>
          <w:numId w:val="1"/>
        </w:numPr>
        <w:spacing w:before="120" w:after="120" w:line="360" w:lineRule="auto"/>
        <w:jc w:val="center"/>
        <w:rPr>
          <w:rFonts w:ascii="宋体"/>
          <w:bCs w:val="0"/>
          <w:color w:val="000000" w:themeColor="text1"/>
          <w:kern w:val="0"/>
          <w:sz w:val="24"/>
          <w:szCs w:val="24"/>
          <w14:textFill>
            <w14:solidFill>
              <w14:schemeClr w14:val="tx1"/>
            </w14:solidFill>
          </w14:textFill>
        </w:rPr>
      </w:pPr>
      <w:bookmarkStart w:id="4" w:name="_Toc394473998"/>
      <w:bookmarkStart w:id="5" w:name="_Toc170895813"/>
      <w:r>
        <w:rPr>
          <w:rFonts w:hint="eastAsia" w:ascii="宋体"/>
          <w:bCs w:val="0"/>
          <w:color w:val="000000" w:themeColor="text1"/>
          <w:kern w:val="0"/>
          <w:sz w:val="24"/>
          <w:szCs w:val="24"/>
          <w14:textFill>
            <w14:solidFill>
              <w14:schemeClr w14:val="tx1"/>
            </w14:solidFill>
          </w14:textFill>
        </w:rPr>
        <w:t>基金托管人对基金管理人的业务监督和核查</w:t>
      </w:r>
      <w:bookmarkEnd w:id="4"/>
      <w:bookmarkEnd w:id="5"/>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标的证券库予以更新和调整并及时书面通知基金托管人。基金托管人根据上述投资范围对基金实际投资是否符合《基金合同》关于证券选择标准的约定进行监督。</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1</w:t>
      </w:r>
      <w:r>
        <w:rPr>
          <w:rFonts w:hint="eastAsia" w:ascii="宋体" w:hAnsi="Calibri" w:cs="宋体"/>
          <w:color w:val="000000" w:themeColor="text1"/>
          <w:kern w:val="0"/>
          <w:szCs w:val="21"/>
          <w14:textFill>
            <w14:solidFill>
              <w14:schemeClr w14:val="tx1"/>
            </w14:solidFill>
          </w14:textFill>
        </w:rPr>
        <w:t>、基金托管人根据有关法律法规的规定和《基金合同》的约定，对下述基金投资范围进行监督。</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本基金将投资于以下金融工具：</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本基金主要投资于目标ETF基金份额、标的指数成份券（含存托凭证，下同）和备选成份券（含存托凭证，下同）。</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为更好地实现投资目标，本基金可少量投资于国内依法发行上市的非成份券（包括主板、创业板及其他中国证监会允许基金投资的股票和存托凭证）、债券（包括国债、央行票据、金融债券、企业债券、公司债券、中期票据、短期融资券、超短期融资券、次级债券、政府支持机构债、政府支持债券、地方政府债、可转换债券（含可分离交易可转债）、可交换债券及其他中国证监会允许投资的债券）、资产支持证券、债券回购、同业存单、银行存款、货币市场工具、金融衍生品</w:t>
      </w:r>
      <w:bookmarkStart w:id="46" w:name="_GoBack"/>
      <w:bookmarkEnd w:id="46"/>
      <w:r>
        <w:rPr>
          <w:rFonts w:hint="eastAsia" w:ascii="宋体" w:hAnsi="Calibri" w:cs="宋体"/>
          <w:color w:val="000000" w:themeColor="text1"/>
          <w:kern w:val="0"/>
          <w:szCs w:val="21"/>
          <w14:textFill>
            <w14:solidFill>
              <w14:schemeClr w14:val="tx1"/>
            </w14:solidFill>
          </w14:textFill>
        </w:rPr>
        <w:t>（包括股指期货、国债期货、股票期权等）以及法律法规或中国证监会允许基金投资的其他金融工具，但须符合中国证监会的相关规定。</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本基金可根据相关法律法规和基金合同的约定参与融资业务和转融通证券出借业务。</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、基金托管人根据有关法律法规的规定及《基金合同》的约定对下述基金投资比例进行监督。</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）按法律法规的规定及《基金合同》的约定，本基金的投资资产配置比例为：</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的投资组合比例为：本基金投资于目标ETF的比例不低于基金资产净值的90%，每个交易日日终在扣除股指期货合约、国债期货合约和股票期权合约需缴纳的交易保证金后，应当保持不低于基金资产净值5%的现金或到期日在一年以内的政府债券。其中，现金不包括结算备付金、存出保证金、应收申购款等。股指期货、国债期货、股票期权及其他金融工具的投资比例依照法律法规或监管机构的规定执行。</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如法律法规或监管机构以后允许基金投资股指期权或其他品种或变更投资品种的投资比例限制，基金管理人在履行适当程序后，可以将其纳入投资范围或调整上述投资品种的投资比例。</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）根据法律法规的规定及《基金合同》的约定，本基金投资组合遵循以下投资限制：</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1）本基金投资于目标ETF的比例不低于基金资产净值的90%；</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2）本基金每个交易日日终在扣除股指期货、国债期货和股票期权合约需缴纳的交易保证金后，应当保持不低于基金资产净值5%的现金或到期日在一年以内的政府债券，其中，现金不包括结算备付金、存出保证金、应收申购款等；</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3）本基金投资于同一原始权益人的各类资产支持证券的比例，不得超过基金资产净值的10%；</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4）本基金持有的全部资产支持证券，其市值不得超过基金资产净值的20%；</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5）本基金持有的同一（指同一信用级别）资产支持证券的比例，不得超过该资产支持证券规模的10%；</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6）本基金管理人管理且由本基金托管人托管的全部基金投资于同一原始权益人的各类资产支持证券，不得超过其各类资产支持证券合计规模的10%；</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7）本基金应投资于信用级别评级为BBB以上（含BBB）的资产支持证券。基金持有资产支持证券期间，如果其信用等级下降、不再符合投资标准，应在评级报告发布之日起3个月内予以全部卖出；</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8）基金财产参与股票发行申购，本基金所申报的金额不超过本基金的总资产，本基金所申报的股票数量不超过拟发行股票公司本次发行股票的总量；</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9</w:t>
      </w:r>
      <w:r>
        <w:rPr>
          <w:rFonts w:hint="eastAsia" w:ascii="宋体" w:hAnsi="Calibri" w:cs="宋体"/>
          <w:color w:val="000000" w:themeColor="text1"/>
          <w:kern w:val="0"/>
          <w:szCs w:val="21"/>
          <w14:textFill>
            <w14:solidFill>
              <w14:schemeClr w14:val="tx1"/>
            </w14:solidFill>
          </w14:textFill>
        </w:rPr>
        <w:t>）如本基金参与股指期货交易，在任何交易日日终，持有的买入股指期货合约价值，不得超过基金资产净值的10%；在任何交易日日终，持有的卖出股指期货合约价值不得超过基金持有的股票总市值的20%；在任何交易日内交易（不包括平仓）的股指期货合约的成交金额不得超过上一交易日基金资产净值的20%；</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1</w:t>
      </w:r>
      <w:r>
        <w:rPr>
          <w:rFonts w:ascii="宋体" w:hAnsi="Calibri" w:cs="宋体"/>
          <w:color w:val="000000" w:themeColor="text1"/>
          <w:kern w:val="0"/>
          <w:szCs w:val="21"/>
          <w14:textFill>
            <w14:solidFill>
              <w14:schemeClr w14:val="tx1"/>
            </w14:solidFill>
          </w14:textFill>
        </w:rPr>
        <w:t>0</w:t>
      </w:r>
      <w:r>
        <w:rPr>
          <w:rFonts w:hint="eastAsia" w:ascii="宋体" w:hAnsi="Calibri" w:cs="宋体"/>
          <w:color w:val="000000" w:themeColor="text1"/>
          <w:kern w:val="0"/>
          <w:szCs w:val="21"/>
          <w14:textFill>
            <w14:solidFill>
              <w14:schemeClr w14:val="tx1"/>
            </w14:solidFill>
          </w14:textFill>
        </w:rPr>
        <w:t>）如本基金参与国债期货交易，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1</w:t>
      </w:r>
      <w:r>
        <w:rPr>
          <w:rFonts w:ascii="宋体" w:hAnsi="Calibri" w:cs="宋体"/>
          <w:color w:val="000000" w:themeColor="text1"/>
          <w:kern w:val="0"/>
          <w:szCs w:val="21"/>
          <w14:textFill>
            <w14:solidFill>
              <w14:schemeClr w14:val="tx1"/>
            </w14:solidFill>
          </w14:textFill>
        </w:rPr>
        <w:t>1</w:t>
      </w:r>
      <w:r>
        <w:rPr>
          <w:rFonts w:hint="eastAsia" w:ascii="宋体" w:hAnsi="Calibri" w:cs="宋体"/>
          <w:color w:val="000000" w:themeColor="text1"/>
          <w:kern w:val="0"/>
          <w:szCs w:val="21"/>
          <w14:textFill>
            <w14:solidFill>
              <w14:schemeClr w14:val="tx1"/>
            </w14:solidFill>
          </w14:textFill>
        </w:rPr>
        <w:t>）如本基金参与股指期货或国债期货交易，在任何交易日日终，持有的买入国债期货和股指期货合约价值与有价证券市值之和，不得超过基金资产净值的100%，其中，有价证券指股票、债券（不含到期日在一年以内的政府债券）、资产支持证券、买入返售金融资产（不含质押式回购）等；</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1</w:t>
      </w: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本基金参与股票期权交易的，遵守以下投资限制：基金因未平仓的期权合约支付和收取的权利金总额不得超过基金资产净值的10%；未平仓的期权合约面值不得超过基金资产净值的20%。其中，合约面值按照行权价乘以合约乘数计算；</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1</w:t>
      </w:r>
      <w:r>
        <w:rPr>
          <w:rFonts w:ascii="宋体" w:hAnsi="Calibri" w:cs="宋体"/>
          <w:color w:val="000000" w:themeColor="text1"/>
          <w:kern w:val="0"/>
          <w:szCs w:val="21"/>
          <w14:textFill>
            <w14:solidFill>
              <w14:schemeClr w14:val="tx1"/>
            </w14:solidFill>
          </w14:textFill>
        </w:rPr>
        <w:t>3</w:t>
      </w:r>
      <w:r>
        <w:rPr>
          <w:rFonts w:hint="eastAsia" w:ascii="宋体" w:hAnsi="Calibri" w:cs="宋体"/>
          <w:color w:val="000000" w:themeColor="text1"/>
          <w:kern w:val="0"/>
          <w:szCs w:val="21"/>
          <w14:textFill>
            <w14:solidFill>
              <w14:schemeClr w14:val="tx1"/>
            </w14:solidFill>
          </w14:textFill>
        </w:rPr>
        <w:t>）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1</w:t>
      </w:r>
      <w:r>
        <w:rPr>
          <w:rFonts w:ascii="宋体" w:hAnsi="Calibri" w:cs="宋体"/>
          <w:color w:val="000000" w:themeColor="text1"/>
          <w:kern w:val="0"/>
          <w:szCs w:val="21"/>
          <w14:textFill>
            <w14:solidFill>
              <w14:schemeClr w14:val="tx1"/>
            </w14:solidFill>
          </w14:textFill>
        </w:rPr>
        <w:t>4</w:t>
      </w:r>
      <w:r>
        <w:rPr>
          <w:rFonts w:hint="eastAsia" w:ascii="宋体" w:hAnsi="Calibri" w:cs="宋体"/>
          <w:color w:val="000000" w:themeColor="text1"/>
          <w:kern w:val="0"/>
          <w:szCs w:val="21"/>
          <w14:textFill>
            <w14:solidFill>
              <w14:schemeClr w14:val="tx1"/>
            </w14:solidFill>
          </w14:textFill>
        </w:rPr>
        <w:t>）本基金资产总值不超过基金资产净值的140%；</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1</w:t>
      </w:r>
      <w:r>
        <w:rPr>
          <w:rFonts w:ascii="宋体" w:hAnsi="Calibri" w:cs="宋体"/>
          <w:color w:val="000000" w:themeColor="text1"/>
          <w:kern w:val="0"/>
          <w:szCs w:val="21"/>
          <w14:textFill>
            <w14:solidFill>
              <w14:schemeClr w14:val="tx1"/>
            </w14:solidFill>
          </w14:textFill>
        </w:rPr>
        <w:t>5</w:t>
      </w:r>
      <w:r>
        <w:rPr>
          <w:rFonts w:hint="eastAsia" w:ascii="宋体" w:hAnsi="Calibri" w:cs="宋体"/>
          <w:color w:val="000000" w:themeColor="text1"/>
          <w:kern w:val="0"/>
          <w:szCs w:val="21"/>
          <w14:textFill>
            <w14:solidFill>
              <w14:schemeClr w14:val="tx1"/>
            </w14:solidFill>
          </w14:textFill>
        </w:rPr>
        <w:t>）本基金参与融资业务的，每个交易日日终，本基金持有的融资买入股票与其他有价证券市值之和，不得超过基金资产净值的95%；</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1</w:t>
      </w:r>
      <w:r>
        <w:rPr>
          <w:rFonts w:ascii="宋体" w:hAnsi="Calibri" w:cs="宋体"/>
          <w:color w:val="000000" w:themeColor="text1"/>
          <w:kern w:val="0"/>
          <w:szCs w:val="21"/>
          <w14:textFill>
            <w14:solidFill>
              <w14:schemeClr w14:val="tx1"/>
            </w14:solidFill>
          </w14:textFill>
        </w:rPr>
        <w:t>6</w:t>
      </w:r>
      <w:r>
        <w:rPr>
          <w:rFonts w:hint="eastAsia" w:ascii="宋体" w:hAnsi="Calibri" w:cs="宋体"/>
          <w:color w:val="000000" w:themeColor="text1"/>
          <w:kern w:val="0"/>
          <w:szCs w:val="21"/>
          <w14:textFill>
            <w14:solidFill>
              <w14:schemeClr w14:val="tx1"/>
            </w14:solidFill>
          </w14:textFill>
        </w:rPr>
        <w:t>）本基金参与转融通证券出借业务，出借证券资产不得超过基金资产净值的30%，出借期限在10个交易日以上的出借证券应纳入《流动性风险管理规定》所述流动性受限证券的范围；参与出借业务的单只证券不得超过基金持有该证券总量的50%；最近6个月内日均基金资产净值不得低于2亿元；证券出借的平均剩余期限不得超过30天，平均剩余期限按照市值加权平均计算；因证券市场波动、证券发行人合并、基金规模变动等基金管理人之外的因素致使基金投资不符合本条上述规定的，基金管理人不得新增出借业务；</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1</w:t>
      </w:r>
      <w:r>
        <w:rPr>
          <w:rFonts w:ascii="宋体" w:hAnsi="Calibri" w:cs="宋体"/>
          <w:color w:val="000000" w:themeColor="text1"/>
          <w:kern w:val="0"/>
          <w:szCs w:val="21"/>
          <w14:textFill>
            <w14:solidFill>
              <w14:schemeClr w14:val="tx1"/>
            </w14:solidFill>
          </w14:textFill>
        </w:rPr>
        <w:t>7</w:t>
      </w:r>
      <w:r>
        <w:rPr>
          <w:rFonts w:hint="eastAsia" w:ascii="宋体" w:hAnsi="Calibri" w:cs="宋体"/>
          <w:color w:val="000000" w:themeColor="text1"/>
          <w:kern w:val="0"/>
          <w:szCs w:val="21"/>
          <w14:textFill>
            <w14:solidFill>
              <w14:schemeClr w14:val="tx1"/>
            </w14:solidFill>
          </w14:textFill>
        </w:rPr>
        <w:t>）法律法规及中国证监会规定的和《基金合同》约定的其他投资限制。</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因证券、期货市场波动、证券发行人合并、基金规模变动、标的指数成份券调整、标的指数成份券流动性限制、目标ETF暂停申购、赎回或二级市场交易停牌等基金管理人之外的因素致使基金投资比例不符合上述第1）项规定投资比例的，基金管理人应当在20个交易日内进行调整；除上述1）、2）、7）、1</w:t>
      </w:r>
      <w:r>
        <w:rPr>
          <w:rFonts w:ascii="宋体" w:hAnsi="Calibri" w:cs="宋体"/>
          <w:color w:val="000000" w:themeColor="text1"/>
          <w:kern w:val="0"/>
          <w:szCs w:val="21"/>
          <w14:textFill>
            <w14:solidFill>
              <w14:schemeClr w14:val="tx1"/>
            </w14:solidFill>
          </w14:textFill>
        </w:rPr>
        <w:t>3</w:t>
      </w:r>
      <w:r>
        <w:rPr>
          <w:rFonts w:hint="eastAsia" w:ascii="宋体" w:hAnsi="Calibri" w:cs="宋体"/>
          <w:color w:val="000000" w:themeColor="text1"/>
          <w:kern w:val="0"/>
          <w:szCs w:val="21"/>
          <w14:textFill>
            <w14:solidFill>
              <w14:schemeClr w14:val="tx1"/>
            </w14:solidFill>
          </w14:textFill>
        </w:rPr>
        <w:t>）、1</w:t>
      </w:r>
      <w:r>
        <w:rPr>
          <w:rFonts w:ascii="宋体" w:hAnsi="Calibri" w:cs="宋体"/>
          <w:color w:val="000000" w:themeColor="text1"/>
          <w:kern w:val="0"/>
          <w:szCs w:val="21"/>
          <w14:textFill>
            <w14:solidFill>
              <w14:schemeClr w14:val="tx1"/>
            </w14:solidFill>
          </w14:textFill>
        </w:rPr>
        <w:t>6</w:t>
      </w:r>
      <w:r>
        <w:rPr>
          <w:rFonts w:hint="eastAsia" w:ascii="宋体" w:hAnsi="Calibri" w:cs="宋体"/>
          <w:color w:val="000000" w:themeColor="text1"/>
          <w:kern w:val="0"/>
          <w:szCs w:val="21"/>
          <w14:textFill>
            <w14:solidFill>
              <w14:schemeClr w14:val="tx1"/>
            </w14:solidFill>
          </w14:textFill>
        </w:rPr>
        <w:t>）情形之外，因证券、期货市场波动、证券发行人合并、基金规模变动、标的指数成份券调整、标的指数成份券流动性限制、目标ETF暂停申购、赎回或二级市场交易停牌等基金管理人之外的因素致使基金投资比例不符合上述规定投资比例的，基金管理人应当在10个交易日内进行调整，但中国证监会规定的特殊情形除外。</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管理人应当自基金合同生效之日起6个月内使基金的投资组合比例符合基金合同的有关约定。在上述期间内，本基金的投资范围应当符合基金合同的约定。基金托管人对基金的投资的监督与检查自基金合同生效之日起开始。</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如果法律法规或监管部门对基金合同约定投资组合比例限制进行变更的，以变更后的规定为准。法律法规或监管部门取消上述限制，如适用于本基金，基金管理人在履行适当程序后，则本基金投资不再受相关限制。</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、基金托管人根据有关法律法规的规定及《基金合同》的约定对下述基金投资禁止行为通过事后监督方式进行监督：</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（1）承销证券；</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（2）违反规定向他人贷款或者提供担保；</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（3）从事承担无限责任的投资；</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（4）买卖除目标ETF基金份额以外的其他基金份额，但是中国证监会另有规定的除外；</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（5）向其基金管理人、基金托管人出资；</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（6）从事内幕交易、操纵证券交易价格及其他不正当的证券交易活动；</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（7）法律、行政法规和中国证监会规定禁止的其他活动。</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法律法规或监管部门取消或变更上述禁止性规定，如适用于本基金，基金管理人在履行适当程序后，则本基金投资不再受相关限制或按变更后的规定执行。</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、基金托管人依据有关法律法规的规定和《基金合同》的约定对于基金关联投资限制进行监督。</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（二）基金托管人根据有关法律法规的规定及《基金合同》的约定，对基金管理人投资流通受限证券进行监督。</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基金管理人投资流通受限证券，应事先根据中国证监会相关规定，明确基金投资流通受限证券的比例，制订严格的投资决策流程和风险控制制度，防范流动性风险、法律风险和操作风险等各种风险。</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本基金投资的流通受限证券限于可由中国证券登记结算有限责任公司或中央国债登记结算有限责任公司负责登记和存管，并可在证券交易所或全国银行间债券市场交易的证券。</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本基金投资流通受限证券，不得预付任何形式的保证金。若有最新法律法规、监管政策变更规定的，根据最新法律法规、监管政策执行</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）中国证监会批准发行非公开发行股票的批准文件。</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）非公开发行股票有关发行数量、发行价格、锁定期等发行资料。</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）基金拟认购的数量、价格、总成本、账面价值。</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基金管理人应在本基金投资非公开发行股票后两个交易日内，在中国证监会规定媒介披露所投资非公开发行股票的名称、数量、总成本、账面价值，以及总成本和账面价值占基金资产净值的比例、锁定期等信息。</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本基金有关投资流通受限证券比例如违反有关限制规定，在合理期限内未能进行及时调整，基金管理人应在两个工作日内编制临时报告书，予以公告。</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5、相关法律法规对基金投资流通受限证券有新规定的，从其规定。</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基金参与转融通证券出借业务，基金管理人应当遵守审慎经营原则，配备技术系统和专业人员，制定科学合理的投资策略和风险管理制度，完善业务流程，有效防范和控制风险。基金托管人将对基金参与出借业务的投资比例进行监督。</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基金托管人应根据有关法律法规的规定及《基金合同》的约定，对基金资产净值计算、基金份额净值计算、应收资金到账、基金费用开支及收入确定、基金收益分配、相关信息披露、基金宣传推介材料（需基金管理人主动提供）中登载基金业绩表现数据等进行监督和核查。</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四）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五）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（六）若基金托管人发现基金管理人依据交易程序已经生效的指令违反法律、行政法规和其他有关规定，或者违反《基金合同》约定的，应当及时通知基金管理人，由此造成的损失由基金管理人承担。</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七）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pPr>
        <w:pStyle w:val="2"/>
        <w:numPr>
          <w:ilvl w:val="0"/>
          <w:numId w:val="1"/>
        </w:numPr>
        <w:spacing w:before="120" w:after="120" w:line="360" w:lineRule="auto"/>
        <w:jc w:val="center"/>
        <w:rPr>
          <w:rFonts w:ascii="宋体" w:hAnsi="Calibri" w:cs="宋体"/>
          <w:color w:val="000000" w:themeColor="text1"/>
          <w:kern w:val="0"/>
          <w:sz w:val="24"/>
          <w14:textFill>
            <w14:solidFill>
              <w14:schemeClr w14:val="tx1"/>
            </w14:solidFill>
          </w14:textFill>
        </w:rPr>
      </w:pPr>
      <w:bookmarkStart w:id="6" w:name="_Toc394473999"/>
      <w:bookmarkStart w:id="7" w:name="_Toc170895814"/>
      <w:r>
        <w:rPr>
          <w:rFonts w:hint="eastAsia" w:ascii="宋体" w:hAnsi="Calibri" w:cs="宋体"/>
          <w:color w:val="000000" w:themeColor="text1"/>
          <w:kern w:val="0"/>
          <w:sz w:val="24"/>
          <w14:textFill>
            <w14:solidFill>
              <w14:schemeClr w14:val="tx1"/>
            </w14:solidFill>
          </w14:textFill>
        </w:rPr>
        <w:t>基金管理人对基金托管人的业务核查</w:t>
      </w:r>
      <w:bookmarkEnd w:id="6"/>
      <w:bookmarkEnd w:id="7"/>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一）基金管理人对基金托管人履行托管职责情况进行核查，核查事项包括但不限于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二）基金管理人发现基金托管人擅自挪用基金财产、未对基金财产实行分账管理、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说明违规原因及纠正期限，并保证在规定期限内及时改正。在上述限期内，基金管理人有权随时对通知事项进行复查，督促基金托管人改正，并予协助配合。基金托管人应积极配合基金管理人的核查行为，包括但不限于：提交相关资料以供基金管理人核查托管财产的完整性和真实性，在规定时间内答复基金管理人并改正。基金托管人对基金管理人通知的违规事项未能在限期内纠正的，基金管理人应报告中国证监会。</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（三）基金管理人发现基金托管人有重大违规行为，应立即报告中国证监会，同时通知基金托管人限期纠正，并将纠正结果报告中国证监会。</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pPr>
        <w:pStyle w:val="2"/>
        <w:numPr>
          <w:ilvl w:val="0"/>
          <w:numId w:val="1"/>
        </w:numPr>
        <w:spacing w:before="120" w:after="120" w:line="360" w:lineRule="auto"/>
        <w:jc w:val="center"/>
        <w:rPr>
          <w:rFonts w:ascii="宋体" w:hAnsi="Calibri" w:cs="宋体"/>
          <w:color w:val="000000" w:themeColor="text1"/>
          <w:kern w:val="0"/>
          <w:szCs w:val="21"/>
          <w14:textFill>
            <w14:solidFill>
              <w14:schemeClr w14:val="tx1"/>
            </w14:solidFill>
          </w14:textFill>
        </w:rPr>
      </w:pPr>
      <w:bookmarkStart w:id="8" w:name="_Toc170895815"/>
      <w:bookmarkStart w:id="9" w:name="_Toc394474000"/>
      <w:r>
        <w:rPr>
          <w:rFonts w:hint="eastAsia" w:ascii="宋体" w:hAnsi="Calibri" w:cs="宋体"/>
          <w:color w:val="000000" w:themeColor="text1"/>
          <w:kern w:val="0"/>
          <w:sz w:val="24"/>
          <w14:textFill>
            <w14:solidFill>
              <w14:schemeClr w14:val="tx1"/>
            </w14:solidFill>
          </w14:textFill>
        </w:rPr>
        <w:t>基金财产保管</w:t>
      </w:r>
      <w:bookmarkEnd w:id="8"/>
      <w:bookmarkEnd w:id="9"/>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（一）基金财产保管的原则</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1</w:t>
      </w:r>
      <w:r>
        <w:rPr>
          <w:rFonts w:hint="eastAsia" w:ascii="宋体" w:hAnsi="Calibri" w:cs="宋体"/>
          <w:color w:val="000000" w:themeColor="text1"/>
          <w:kern w:val="0"/>
          <w:szCs w:val="21"/>
          <w14:textFill>
            <w14:solidFill>
              <w14:schemeClr w14:val="tx1"/>
            </w14:solidFill>
          </w14:textFill>
        </w:rPr>
        <w:t>、基金财产应独立于基金管理人、基金托管人</w:t>
      </w:r>
      <w:r>
        <w:rPr>
          <w:rFonts w:hint="eastAsia" w:ascii="彩虹粗仿宋" w:hAnsi="宋体" w:eastAsia="彩虹粗仿宋" w:cs="Arial"/>
          <w:sz w:val="24"/>
        </w:rPr>
        <w:t>和</w:t>
      </w:r>
      <w:r>
        <w:rPr>
          <w:rFonts w:hint="eastAsia"/>
          <w:color w:val="000000"/>
          <w:szCs w:val="21"/>
        </w:rPr>
        <w:t>证券经纪机构</w:t>
      </w:r>
      <w:r>
        <w:rPr>
          <w:rFonts w:hint="eastAsia" w:ascii="宋体" w:hAnsi="Calibri" w:cs="宋体"/>
          <w:color w:val="000000" w:themeColor="text1"/>
          <w:kern w:val="0"/>
          <w:szCs w:val="21"/>
          <w14:textFill>
            <w14:solidFill>
              <w14:schemeClr w14:val="tx1"/>
            </w14:solidFill>
          </w14:textFill>
        </w:rPr>
        <w:t>的固有财产。</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、基金托管人应安全保管基金财产，未经基金管理人的合法合规指令或法律法规、《基金合同》及本协议另有规定，不得自行运用、处分、分配基金的任何财产。</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3</w:t>
      </w:r>
      <w:r>
        <w:rPr>
          <w:rFonts w:hint="eastAsia" w:ascii="宋体" w:hAnsi="Calibri" w:cs="宋体"/>
          <w:color w:val="000000" w:themeColor="text1"/>
          <w:kern w:val="0"/>
          <w:szCs w:val="21"/>
          <w14:textFill>
            <w14:solidFill>
              <w14:schemeClr w14:val="tx1"/>
            </w14:solidFill>
          </w14:textFill>
        </w:rPr>
        <w:t>、基金托管人按照规定开设基金财产的资金账户、证券账户等投资所需账户，相关开户费用由基金资产承担。</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4</w:t>
      </w:r>
      <w:r>
        <w:rPr>
          <w:rFonts w:hint="eastAsia" w:ascii="宋体" w:hAnsi="Calibri" w:cs="宋体"/>
          <w:color w:val="000000" w:themeColor="text1"/>
          <w:kern w:val="0"/>
          <w:szCs w:val="21"/>
          <w14:textFill>
            <w14:solidFill>
              <w14:schemeClr w14:val="tx1"/>
            </w14:solidFill>
          </w14:textFill>
        </w:rPr>
        <w:t>、基金托管人对所托管的不同基金财产分别设置账户，确保基金财产的完整与独立。</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5</w:t>
      </w:r>
      <w:r>
        <w:rPr>
          <w:rFonts w:hint="eastAsia" w:ascii="宋体" w:hAnsi="Calibri" w:cs="宋体"/>
          <w:color w:val="000000" w:themeColor="text1"/>
          <w:kern w:val="0"/>
          <w:szCs w:val="21"/>
          <w14:textFill>
            <w14:solidFill>
              <w14:schemeClr w14:val="tx1"/>
            </w14:solidFill>
          </w14:textFill>
        </w:rPr>
        <w:t>、对于因为基金认申购、投资产生的应收资产，应由基金管理人负责与有关当事人确定到账日期并通知基金托管人，到账日基金财产没有到达基金账户的，基金托管人应及时通知基金管理人采取措施进行催收。基金管理人未及时催收给基金财产造成损失的，基金管理人应负责向有关当事人追偿基金财产的损失，基金托管人对此不承担任何责任，但应予以必要的配合与协助。</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6</w:t>
      </w:r>
      <w:r>
        <w:rPr>
          <w:rFonts w:hint="eastAsia" w:ascii="宋体" w:hAnsi="Calibri" w:cs="宋体"/>
          <w:color w:val="000000" w:themeColor="text1"/>
          <w:kern w:val="0"/>
          <w:szCs w:val="21"/>
          <w14:textFill>
            <w14:solidFill>
              <w14:schemeClr w14:val="tx1"/>
            </w14:solidFill>
          </w14:textFill>
        </w:rPr>
        <w:t>、对因为基金管理人投资产生的存放或存管在基金托管人以外机构的基金财产，或交由期货公司或证券公司负责清算交收的基金财产（包括但不限于期货保证金账户内的资金、期货合约等）及其收益，若由于该等机构或该机构会员单位等本协议当事人外第三方的原因给基金财产造成的损失等，基金托管人不承担责任。</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7</w:t>
      </w:r>
      <w:r>
        <w:rPr>
          <w:rFonts w:hint="eastAsia" w:ascii="宋体" w:hAnsi="Calibri" w:cs="宋体"/>
          <w:color w:val="000000" w:themeColor="text1"/>
          <w:kern w:val="0"/>
          <w:szCs w:val="21"/>
          <w14:textFill>
            <w14:solidFill>
              <w14:schemeClr w14:val="tx1"/>
            </w14:solidFill>
          </w14:textFill>
        </w:rPr>
        <w:t>、除依据法律法规、《基金合同》及其他有关规定外，基金托管人不得委托第三人托管基金财产。</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（二）《基金合同》生效前募集资金的验资和入账</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1</w:t>
      </w:r>
      <w:r>
        <w:rPr>
          <w:rFonts w:hint="eastAsia" w:ascii="宋体" w:hAnsi="Calibri" w:cs="宋体"/>
          <w:color w:val="000000" w:themeColor="text1"/>
          <w:kern w:val="0"/>
          <w:szCs w:val="21"/>
          <w14:textFill>
            <w14:solidFill>
              <w14:schemeClr w14:val="tx1"/>
            </w14:solidFill>
          </w14:textFill>
        </w:rPr>
        <w:t>、基金募集期间募集的资金应存于基金管理人在具有托管资格的银行开立的“基金募集专户”，该账户由基金管理人开立并管理。基金募集期满或基金管理人宣布停止募集时，发起资金认购金额及发起资金提供方承诺持有期限符合《基金法》、《运作办法》等有关规定的，基金管理人应将属于本基金财产的全部资金划入在基金托管人为本基金开立的基金银行账户和证券账户。同时在规定时间内，由基金管理人在法定期限内聘请符合《中华人民共和国证券法》规定的会计师事务所对基金进行验资，并出具验资报告，验资报告需对发起资金提供方及其持有份额进行专门说明。出具的验资报告应由参加验资的</w:t>
      </w: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名以上</w:t>
      </w:r>
      <w:r>
        <w:rPr>
          <w:rFonts w:ascii="宋体" w:hAnsi="Calibri" w:cs="宋体"/>
          <w:color w:val="000000" w:themeColor="text1"/>
          <w:kern w:val="0"/>
          <w:szCs w:val="21"/>
          <w14:textFill>
            <w14:solidFill>
              <w14:schemeClr w14:val="tx1"/>
            </w14:solidFill>
          </w14:textFill>
        </w:rPr>
        <w:t>(</w:t>
      </w:r>
      <w:r>
        <w:rPr>
          <w:rFonts w:hint="eastAsia" w:ascii="宋体" w:hAnsi="Calibri" w:cs="宋体"/>
          <w:color w:val="000000" w:themeColor="text1"/>
          <w:kern w:val="0"/>
          <w:szCs w:val="21"/>
          <w14:textFill>
            <w14:solidFill>
              <w14:schemeClr w14:val="tx1"/>
            </w14:solidFill>
          </w14:textFill>
        </w:rPr>
        <w:t>含</w:t>
      </w: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名</w:t>
      </w:r>
      <w:r>
        <w:rPr>
          <w:rFonts w:ascii="宋体" w:hAnsi="Calibri" w:cs="宋体"/>
          <w:color w:val="000000" w:themeColor="text1"/>
          <w:kern w:val="0"/>
          <w:szCs w:val="21"/>
          <w14:textFill>
            <w14:solidFill>
              <w14:schemeClr w14:val="tx1"/>
            </w14:solidFill>
          </w14:textFill>
        </w:rPr>
        <w:t>)</w:t>
      </w:r>
      <w:r>
        <w:rPr>
          <w:rFonts w:hint="eastAsia" w:ascii="宋体" w:hAnsi="Calibri" w:cs="宋体"/>
          <w:color w:val="000000" w:themeColor="text1"/>
          <w:kern w:val="0"/>
          <w:szCs w:val="21"/>
          <w14:textFill>
            <w14:solidFill>
              <w14:schemeClr w14:val="tx1"/>
            </w14:solidFill>
          </w14:textFill>
        </w:rPr>
        <w:t>中国注册会计师签字方为有效。</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、若基金募集期限届满，未能达到《基金合同》生效的条件，由基金管理人或相关机构按规定办理退款等事宜，基金托管人应提供必要的协助。</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（三）基金的托管资金账户的开设和管理</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1</w:t>
      </w:r>
      <w:r>
        <w:rPr>
          <w:rFonts w:hint="eastAsia" w:ascii="宋体" w:hAnsi="Calibri" w:cs="宋体"/>
          <w:color w:val="000000" w:themeColor="text1"/>
          <w:kern w:val="0"/>
          <w:szCs w:val="21"/>
          <w14:textFill>
            <w14:solidFill>
              <w14:schemeClr w14:val="tx1"/>
            </w14:solidFill>
          </w14:textFill>
        </w:rPr>
        <w:t>、基金托管人应负责本基金的托管资金账户的开设和管理。</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基金托管人以本基金的名义在具有基金托管资格的商业银行开设本基金的托管资金账户。本基金的银行预留印鉴由基金托管人保管和使用。本基金的一切货币收支活动，包括但不限于投资、支付赎回金额、支付基金收益、收取申购款，均需通过本基金的托管资金账户进行。</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3</w:t>
      </w:r>
      <w:r>
        <w:rPr>
          <w:rFonts w:hint="eastAsia" w:ascii="宋体" w:hAnsi="Calibri" w:cs="宋体"/>
          <w:color w:val="000000" w:themeColor="text1"/>
          <w:kern w:val="0"/>
          <w:szCs w:val="21"/>
          <w14:textFill>
            <w14:solidFill>
              <w14:schemeClr w14:val="tx1"/>
            </w14:solidFill>
          </w14:textFill>
        </w:rPr>
        <w:t>、本基金托管资金账户的开立和使用，限于满足开展本基金业务的需要。基金托管人和基金管理人不得假借本基金的名义开立其他任何银行账户；亦不得使用本基金的银行账户进行本基金业务以外的活动。</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4</w:t>
      </w:r>
      <w:r>
        <w:rPr>
          <w:rFonts w:hint="eastAsia" w:ascii="宋体" w:hAnsi="Calibri" w:cs="宋体"/>
          <w:color w:val="000000" w:themeColor="text1"/>
          <w:kern w:val="0"/>
          <w:szCs w:val="21"/>
          <w14:textFill>
            <w14:solidFill>
              <w14:schemeClr w14:val="tx1"/>
            </w14:solidFill>
          </w14:textFill>
        </w:rPr>
        <w:t>、基金托管资金账户的管理应符合《人民币银行结算账户管理办法》、《现金管理暂行条例》、《支付结算办法》以及其他相关规定。</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5</w:t>
      </w:r>
      <w:r>
        <w:rPr>
          <w:rFonts w:hint="eastAsia" w:ascii="宋体" w:hAnsi="Calibri" w:cs="宋体"/>
          <w:color w:val="000000" w:themeColor="text1"/>
          <w:kern w:val="0"/>
          <w:szCs w:val="21"/>
          <w14:textFill>
            <w14:solidFill>
              <w14:schemeClr w14:val="tx1"/>
            </w14:solidFill>
          </w14:textFill>
        </w:rPr>
        <w:t>、在符合法律法规规定的条件下，基金托管人可以通过基金托管人专用账户办理基金资产的支付。</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6</w:t>
      </w:r>
      <w:r>
        <w:rPr>
          <w:rFonts w:hint="eastAsia" w:ascii="宋体" w:hAnsi="Calibri" w:cs="宋体"/>
          <w:color w:val="000000" w:themeColor="text1"/>
          <w:kern w:val="0"/>
          <w:szCs w:val="21"/>
          <w14:textFill>
            <w14:solidFill>
              <w14:schemeClr w14:val="tx1"/>
            </w14:solidFill>
          </w14:textFill>
        </w:rPr>
        <w:t>、基金管理人应于托管产品到期后及时完成收益兑付、费用结清及其他应收应付款项资金划转，在确保后续不再发生款项进出后的</w:t>
      </w:r>
      <w:r>
        <w:rPr>
          <w:rFonts w:ascii="宋体" w:hAnsi="Calibri" w:cs="宋体"/>
          <w:color w:val="000000" w:themeColor="text1"/>
          <w:kern w:val="0"/>
          <w:szCs w:val="21"/>
          <w14:textFill>
            <w14:solidFill>
              <w14:schemeClr w14:val="tx1"/>
            </w14:solidFill>
          </w14:textFill>
        </w:rPr>
        <w:t>10</w:t>
      </w:r>
      <w:r>
        <w:rPr>
          <w:rFonts w:hint="eastAsia" w:ascii="宋体" w:hAnsi="Calibri" w:cs="宋体"/>
          <w:color w:val="000000" w:themeColor="text1"/>
          <w:kern w:val="0"/>
          <w:szCs w:val="21"/>
          <w14:textFill>
            <w14:solidFill>
              <w14:schemeClr w14:val="tx1"/>
            </w14:solidFill>
          </w14:textFill>
        </w:rPr>
        <w:t>个工作日内向托管人发出销户申请。</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（四）基金证券账户和证券资金账户的开设和管理</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1</w:t>
      </w:r>
      <w:r>
        <w:rPr>
          <w:rFonts w:hint="eastAsia" w:ascii="宋体" w:hAnsi="Calibri" w:cs="宋体"/>
          <w:color w:val="000000" w:themeColor="text1"/>
          <w:kern w:val="0"/>
          <w:szCs w:val="21"/>
          <w14:textFill>
            <w14:solidFill>
              <w14:schemeClr w14:val="tx1"/>
            </w14:solidFill>
          </w14:textFill>
        </w:rPr>
        <w:t>、基金托管人应当代表本基金，以基金托管人和本基金联名的方式在中国证券登记结算有限责任公司开设证券账户。</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、本基金证券账户的开立和使用，限于满足开展本基金业务的需要。基金托管人和基金管理人不得出借或未经另一方同意擅自转让本基金的证券账户；亦不得使用本基金的证券账户进行本基金业务以外的活动。</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3</w:t>
      </w:r>
      <w:r>
        <w:rPr>
          <w:rFonts w:hint="eastAsia" w:ascii="宋体" w:hAnsi="Calibri" w:cs="宋体"/>
          <w:color w:val="000000" w:themeColor="text1"/>
          <w:kern w:val="0"/>
          <w:szCs w:val="21"/>
          <w14:textFill>
            <w14:solidFill>
              <w14:schemeClr w14:val="tx1"/>
            </w14:solidFill>
          </w14:textFill>
        </w:rPr>
        <w:t>、基金证券账户的开立由基金托管人负责，账户资产的管理和运用由基金管理人负责。</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证券账户开户费由基金管理人先行垫付</w:t>
      </w:r>
      <w:r>
        <w:rPr>
          <w:rFonts w:ascii="宋体" w:hAnsi="Calibri" w:cs="宋体"/>
          <w:color w:val="000000" w:themeColor="text1"/>
          <w:kern w:val="0"/>
          <w:szCs w:val="21"/>
          <w14:textFill>
            <w14:solidFill>
              <w14:schemeClr w14:val="tx1"/>
            </w14:solidFill>
          </w14:textFill>
        </w:rPr>
        <w:t>,待托管产品启始运营后,基金管理人可向基金托管人发送划款指令,将代垫开户费从本基金托管资金账户中扣还基金管理人。</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4</w:t>
      </w:r>
      <w:r>
        <w:rPr>
          <w:rFonts w:hint="eastAsia" w:ascii="宋体" w:hAnsi="Calibri" w:cs="宋体"/>
          <w:color w:val="000000" w:themeColor="text1"/>
          <w:kern w:val="0"/>
          <w:szCs w:val="21"/>
          <w14:textFill>
            <w14:solidFill>
              <w14:schemeClr w14:val="tx1"/>
            </w14:solidFill>
          </w14:textFill>
        </w:rPr>
        <w:t>、基金管理人为基金财产在证券经纪机构开立证券资金账户，用于基金财产证券交易结算资金的存管、记载交易结算资金的变动明细以及场内证券交易清算，并与基金托管人开立的基金托管资金账户建立第三方存管关系。</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交易所证券交易资金采用第三方存管模式，即用于证券交易结算资金全额存放在基金管理人为基金开立的证券资金账户中，场内的证券交易资金清算由基金管理人所选择的证券经纪机构负责，证券资金账户内的资金，只能通过证银转账方式将资金划转至基金托管资金账户，不得将资金划转至任何其他银行账户。第三方存管对应关系一经确定，不得更改，如果必须更改，应由基金管理人发起，经过基金托管人书面确认后，重新建立第三方存管对应关系。基金托管人和基金管理人不得出借或转让证券账户、证券资金账户，亦不得使用证券账户或证券资金账户进行本基金业务以外的活动。基金管理人承诺证券资金账户为主资金账户，不开立任何辅助资金账户；不为证券资金账户另行开立托管资金账户以外的其他银行账户。基金托管人不负责办理场内的证券交易资金清算，也不负责保管证券资金账户内存放的资金。</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5、账户注销时，在遵守中国证券登记结算有限责任公司的相关规定下，由管理人和托管人协商确认主要办理人。账户注销期间，主要办理人如需另一方提供配合的，另一方应予以配合。</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6</w:t>
      </w:r>
      <w:r>
        <w:rPr>
          <w:rFonts w:hint="eastAsia" w:ascii="宋体" w:hAnsi="Calibri" w:cs="宋体"/>
          <w:color w:val="000000" w:themeColor="text1"/>
          <w:kern w:val="0"/>
          <w:szCs w:val="21"/>
          <w14:textFill>
            <w14:solidFill>
              <w14:schemeClr w14:val="tx1"/>
            </w14:solidFill>
          </w14:textFill>
        </w:rPr>
        <w:t>、在本托管协议生效日之后，本基金被允许从事其他投资品种的投资业务的，涉及相关账户的开设、使用的，若无相关规定，则基金托管人应当比照并遵守上述关于账户开设、使用的规定。</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（五）银行间账户的开设和管理</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合同》生效后，基金管理人负责以基金的名义申请并取得进入全国银行间同业拆借市场的交易资格，并代表基金进行交易；基金托管人根据中国人民银行、银行间市场登记结算机构的有关规定，以基金的名义在中央国债登记结算有限责任公司、银行间市场清算所股份有限公司开设银行间债券市场债券托管账户和资金结算专户，并代表基金进行银行间债券市场债券和资金的清算。基金管理人负责完成银行间债券市场准入备案。</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（六）期货账户的开设和管理</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基金管理人根据投资需要按照规定开立期货保证金账户及期货交易编码等。完成上述账户开立后，基金管理人应以书面形式及时将相关的账户信息发送基金托管人。</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基金托管人和基金管理人应当在开户过程中相互配合，并提供所需资料。基金管理人保证所提供的账户开户材料的真实性和有效性，且在相关资料变更后及时将变更的资料提供给基金托管人。</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（七）其他账户的开立和管理</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1</w:t>
      </w:r>
      <w:r>
        <w:rPr>
          <w:rFonts w:hint="eastAsia" w:ascii="宋体" w:hAnsi="Calibri" w:cs="宋体"/>
          <w:color w:val="000000" w:themeColor="text1"/>
          <w:kern w:val="0"/>
          <w:szCs w:val="21"/>
          <w14:textFill>
            <w14:solidFill>
              <w14:schemeClr w14:val="tx1"/>
            </w14:solidFill>
          </w14:textFill>
        </w:rPr>
        <w:t>、因业务发展需要而开立的其他账户，可以根据法律法规和《基金合同》的规定，由基金管理人协助基金托管人按照有关法律法规和本协议的约定协商后开立。新账户按有关规定使用并管理。</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、法律法规等有关规定对相关账户的开立和管理另有规定的，从其规定办理。</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（八）基金投资银行存款账户的开立和管理</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1</w:t>
      </w: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本基金投资银行存款前，基金管理人应与存款银行签订具体存款协议，包括但不限于以下内容：</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1）存款账户必须以本基金名义开立,并将基金托管人为本基金开立的基金托管资金账户指定为唯一回款账户，任何情况下，存款银行都不得将存款投资本息划往任何其他账户。</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2）存款银行不得接受基金管理人或基金托管人任何一方单方面提出的对存款进行更名、转让、挂失、质押、担保、撤销、变更印鉴及回款账户信息等可能导致财产转移的操作申请。</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3）约定存款证实书的具体传递交接方式及交接期限。</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4）资金划转过程中需要使用存款银行过渡账户的，存款银行须保证资金在过渡账户中不出现滞留，不被挪用。</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、本基金投资银行存款，必须采用双方认可的方式办理。托管人负责依据管理人提供的银行存款投资合同</w:t>
      </w:r>
      <w:r>
        <w:rPr>
          <w:rFonts w:ascii="宋体" w:hAnsi="Calibri" w:cs="宋体"/>
          <w:color w:val="000000" w:themeColor="text1"/>
          <w:kern w:val="0"/>
          <w:szCs w:val="21"/>
          <w14:textFill>
            <w14:solidFill>
              <w14:schemeClr w14:val="tx1"/>
            </w14:solidFill>
          </w14:textFill>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3</w:t>
      </w:r>
      <w:r>
        <w:rPr>
          <w:rFonts w:hint="eastAsia" w:ascii="宋体" w:hAnsi="Calibri" w:cs="宋体"/>
          <w:color w:val="000000" w:themeColor="text1"/>
          <w:kern w:val="0"/>
          <w:szCs w:val="21"/>
          <w14:textFill>
            <w14:solidFill>
              <w14:schemeClr w14:val="tx1"/>
            </w14:solidFill>
          </w14:textFill>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4</w:t>
      </w:r>
      <w:r>
        <w:rPr>
          <w:rFonts w:hint="eastAsia" w:ascii="宋体" w:hAnsi="Calibri" w:cs="宋体"/>
          <w:color w:val="000000" w:themeColor="text1"/>
          <w:kern w:val="0"/>
          <w:szCs w:val="21"/>
          <w14:textFill>
            <w14:solidFill>
              <w14:schemeClr w14:val="tx1"/>
            </w14:solidFill>
          </w14:textFill>
        </w:rPr>
        <w:t>、对于已移交基金托管人保管的存款开户证实书等实物凭证，基金托管人应安全保管；对未按约定将存款开户证实书等实物凭证移交托管人保管的，基金托管人应向基金管理人进行必要的催缴和风险提示；提示后仍不将相关实物凭证送达托管人保管的，出于托管履职和尽责，托管人可视情况采取必要的风险控制</w:t>
      </w:r>
      <w:r>
        <w:rPr>
          <w:rFonts w:hint="eastAsia"/>
          <w:color w:val="000000"/>
          <w:szCs w:val="21"/>
        </w:rPr>
        <w:t>措施：（</w:t>
      </w:r>
      <w:r>
        <w:rPr>
          <w:color w:val="000000"/>
          <w:szCs w:val="21"/>
        </w:rPr>
        <w:t>1</w:t>
      </w:r>
      <w:r>
        <w:rPr>
          <w:rFonts w:hint="eastAsia"/>
          <w:color w:val="000000"/>
          <w:szCs w:val="21"/>
        </w:rPr>
        <w:t>）建立风险预警机制，对于实物凭证未送达集中度较高的存款银行，主动发函管理人尽量避免在此类银行进行存款投资；（</w:t>
      </w:r>
      <w:r>
        <w:rPr>
          <w:color w:val="000000"/>
          <w:szCs w:val="21"/>
        </w:rPr>
        <w:t>2</w:t>
      </w:r>
      <w:r>
        <w:rPr>
          <w:rFonts w:hint="eastAsia"/>
          <w:color w:val="000000"/>
          <w:szCs w:val="21"/>
        </w:rPr>
        <w:t>）在定期报告中，对未按约定送达基金托管人保管的实物凭证信息进行规定范围信息披露；（</w:t>
      </w:r>
      <w:r>
        <w:rPr>
          <w:color w:val="000000"/>
          <w:szCs w:val="21"/>
        </w:rPr>
        <w:t>3</w:t>
      </w:r>
      <w:r>
        <w:rPr>
          <w:rFonts w:hint="eastAsia"/>
          <w:color w:val="000000"/>
          <w:szCs w:val="21"/>
        </w:rPr>
        <w:t>）未送达实物凭证超过送单截止日后</w:t>
      </w:r>
      <w:r>
        <w:rPr>
          <w:color w:val="000000"/>
          <w:szCs w:val="21"/>
        </w:rPr>
        <w:t>30</w:t>
      </w:r>
      <w:r>
        <w:rPr>
          <w:rFonts w:hint="eastAsia"/>
          <w:color w:val="000000"/>
          <w:szCs w:val="21"/>
        </w:rPr>
        <w:t>个工作日，且累计超过</w:t>
      </w:r>
      <w:r>
        <w:rPr>
          <w:color w:val="000000"/>
          <w:szCs w:val="21"/>
        </w:rPr>
        <w:t>3</w:t>
      </w:r>
      <w:r>
        <w:rPr>
          <w:rFonts w:hint="eastAsia"/>
          <w:color w:val="000000"/>
          <w:szCs w:val="21"/>
        </w:rPr>
        <w:t>笔（含）以上的，部分或全部暂停配合基金管理人办理后续新增存款投资业务，直至实物凭证送达托管人保管后解除。实物凭证未送达但存款本息已安全划回托管资金账户的，以及因发生特殊情况由管理人提供相关书面说明并重新承诺送单截止时间的，可剔除不计。</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（九）基金财产投资的有关有价凭证的保管</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实物证券、银行定期存款存单等有价凭证由基金托管人存放于其保管库，但要与非本基金的其他有价凭证分开保管。保管凭证由基金托管人持有，基金托管人承担保管职责。基金托管人对由基金托管人以外机构实际有效控制或保管的资产不承担任何责任。</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（十）与基金财产有关的重大合同及有关凭证的保管</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基金托管人按照法律法规保管由基金管理人代表基金签署的与基金有关的重大合同及有关凭证。基金管理人代表基金签署有关重大合同后应在收到合同正本后</w:t>
      </w:r>
      <w:r>
        <w:rPr>
          <w:rFonts w:ascii="宋体" w:hAnsi="Calibri" w:cs="宋体"/>
          <w:color w:val="000000" w:themeColor="text1"/>
          <w:kern w:val="0"/>
          <w:szCs w:val="21"/>
          <w14:textFill>
            <w14:solidFill>
              <w14:schemeClr w14:val="tx1"/>
            </w14:solidFill>
          </w14:textFill>
        </w:rPr>
        <w:t>30</w:t>
      </w:r>
      <w:r>
        <w:rPr>
          <w:rFonts w:hint="eastAsia" w:ascii="宋体" w:hAnsi="Calibri" w:cs="宋体"/>
          <w:color w:val="000000" w:themeColor="text1"/>
          <w:kern w:val="0"/>
          <w:szCs w:val="21"/>
          <w14:textFill>
            <w14:solidFill>
              <w14:schemeClr w14:val="tx1"/>
            </w14:solidFill>
          </w14:textFill>
        </w:rPr>
        <w:t>日内将一份正本的原件提交给基金托管人。除本协议另有规定外，基金管理人在代表基金签署与基金有关的重大合同时应保证基金一方持有两份以上的正本，以便基金管理人和基金托管人至少各持有一份正本的原件。重大合同的保管期限不低于法律法规规定的最低期限。</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对于无法取得二份以上的正本的，基金管理人应向基金托管人提供合同传真件并加盖公章，未经双方协商一致，合同原件不得转移。</w:t>
      </w:r>
    </w:p>
    <w:p>
      <w:pPr>
        <w:pStyle w:val="2"/>
        <w:numPr>
          <w:ilvl w:val="0"/>
          <w:numId w:val="1"/>
        </w:numPr>
        <w:spacing w:before="120" w:after="120" w:line="360" w:lineRule="auto"/>
        <w:jc w:val="center"/>
        <w:rPr>
          <w:rFonts w:ascii="宋体"/>
          <w:color w:val="000000" w:themeColor="text1"/>
          <w:kern w:val="0"/>
          <w:sz w:val="24"/>
          <w:szCs w:val="24"/>
          <w14:textFill>
            <w14:solidFill>
              <w14:schemeClr w14:val="tx1"/>
            </w14:solidFill>
          </w14:textFill>
        </w:rPr>
      </w:pPr>
      <w:bookmarkStart w:id="10" w:name="_Toc394474001"/>
      <w:bookmarkStart w:id="11" w:name="_Toc170895816"/>
      <w:r>
        <w:rPr>
          <w:rFonts w:hint="eastAsia" w:ascii="宋体"/>
          <w:color w:val="000000" w:themeColor="text1"/>
          <w:kern w:val="0"/>
          <w:sz w:val="24"/>
          <w:szCs w:val="24"/>
          <w14:textFill>
            <w14:solidFill>
              <w14:schemeClr w14:val="tx1"/>
            </w14:solidFill>
          </w14:textFill>
        </w:rPr>
        <w:t>指令的发送、确认及执行</w:t>
      </w:r>
      <w:bookmarkEnd w:id="10"/>
      <w:bookmarkEnd w:id="11"/>
    </w:p>
    <w:p>
      <w:pPr>
        <w:spacing w:line="360" w:lineRule="auto"/>
        <w:ind w:firstLine="420" w:firstLineChars="200"/>
        <w:rPr>
          <w:rFonts w:ascii="宋体" w:hAnsi="Calibri" w:cs="宋体"/>
          <w:b/>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基金管理人在运用基金财产时向基金托管人发送场外资金划拨及其他款项付款指令，基金托管人执行基金管理人的指令、办理基金名下的资金往来等有关事项。</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（一）基金管理人对发送指令人员的书面授权</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1</w:t>
      </w:r>
      <w:r>
        <w:rPr>
          <w:rFonts w:hint="eastAsia" w:ascii="宋体" w:hAnsi="Calibri" w:cs="宋体"/>
          <w:color w:val="000000" w:themeColor="text1"/>
          <w:kern w:val="0"/>
          <w:szCs w:val="21"/>
          <w14:textFill>
            <w14:solidFill>
              <w14:schemeClr w14:val="tx1"/>
            </w14:solidFill>
          </w14:textFill>
        </w:rPr>
        <w:t>、基金管理人应当事先向基金托管人发出书面通知</w:t>
      </w:r>
      <w:r>
        <w:rPr>
          <w:rFonts w:ascii="宋体" w:hAnsi="Calibri" w:cs="宋体"/>
          <w:color w:val="000000" w:themeColor="text1"/>
          <w:kern w:val="0"/>
          <w:szCs w:val="21"/>
          <w14:textFill>
            <w14:solidFill>
              <w14:schemeClr w14:val="tx1"/>
            </w14:solidFill>
          </w14:textFill>
        </w:rPr>
        <w:t>(</w:t>
      </w:r>
      <w:r>
        <w:rPr>
          <w:rFonts w:hint="eastAsia" w:ascii="宋体" w:hAnsi="Calibri" w:cs="宋体"/>
          <w:color w:val="000000" w:themeColor="text1"/>
          <w:kern w:val="0"/>
          <w:szCs w:val="21"/>
          <w14:textFill>
            <w14:solidFill>
              <w14:schemeClr w14:val="tx1"/>
            </w14:solidFill>
          </w14:textFill>
        </w:rPr>
        <w:t>以下称“授权通知”</w:t>
      </w:r>
      <w:r>
        <w:rPr>
          <w:rFonts w:ascii="宋体" w:hAnsi="Calibri" w:cs="宋体"/>
          <w:color w:val="000000" w:themeColor="text1"/>
          <w:kern w:val="0"/>
          <w:szCs w:val="21"/>
          <w14:textFill>
            <w14:solidFill>
              <w14:schemeClr w14:val="tx1"/>
            </w14:solidFill>
          </w14:textFill>
        </w:rPr>
        <w:t>)</w:t>
      </w:r>
      <w:r>
        <w:rPr>
          <w:rFonts w:hint="eastAsia" w:ascii="宋体" w:hAnsi="Calibri" w:cs="宋体"/>
          <w:color w:val="000000" w:themeColor="text1"/>
          <w:kern w:val="0"/>
          <w:szCs w:val="21"/>
          <w14:textFill>
            <w14:solidFill>
              <w14:schemeClr w14:val="tx1"/>
            </w14:solidFill>
          </w14:textFill>
        </w:rPr>
        <w:t>，载明基金管理人有权发送指令的人员名单</w:t>
      </w:r>
      <w:r>
        <w:rPr>
          <w:rFonts w:ascii="宋体" w:hAnsi="Calibri" w:cs="宋体"/>
          <w:color w:val="000000" w:themeColor="text1"/>
          <w:kern w:val="0"/>
          <w:szCs w:val="21"/>
          <w14:textFill>
            <w14:solidFill>
              <w14:schemeClr w14:val="tx1"/>
            </w14:solidFill>
          </w14:textFill>
        </w:rPr>
        <w:t>(</w:t>
      </w:r>
      <w:r>
        <w:rPr>
          <w:rFonts w:hint="eastAsia" w:ascii="宋体" w:hAnsi="Calibri" w:cs="宋体"/>
          <w:color w:val="000000" w:themeColor="text1"/>
          <w:kern w:val="0"/>
          <w:szCs w:val="21"/>
          <w14:textFill>
            <w14:solidFill>
              <w14:schemeClr w14:val="tx1"/>
            </w14:solidFill>
          </w14:textFill>
        </w:rPr>
        <w:t>以下称“指令发送人员”</w:t>
      </w:r>
      <w:r>
        <w:rPr>
          <w:rFonts w:ascii="宋体" w:hAnsi="Calibri" w:cs="宋体"/>
          <w:color w:val="000000" w:themeColor="text1"/>
          <w:kern w:val="0"/>
          <w:szCs w:val="21"/>
          <w14:textFill>
            <w14:solidFill>
              <w14:schemeClr w14:val="tx1"/>
            </w14:solidFill>
          </w14:textFill>
        </w:rPr>
        <w:t>)</w:t>
      </w:r>
      <w:r>
        <w:rPr>
          <w:rFonts w:hint="eastAsia" w:ascii="宋体" w:hAnsi="Calibri" w:cs="宋体"/>
          <w:color w:val="000000" w:themeColor="text1"/>
          <w:kern w:val="0"/>
          <w:szCs w:val="21"/>
          <w14:textFill>
            <w14:solidFill>
              <w14:schemeClr w14:val="tx1"/>
            </w14:solidFill>
          </w14:textFill>
        </w:rPr>
        <w:t>及各个人员的权限范围。基金管理人应向基金托管人提供预留印鉴样本、指令发送人员的名章样本和签名样本。</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基金管理人向基金托管人发出的授权通知应由基金管理人法定代表人或授权代表签名并加盖公章，若由授权签名人签署，应附上基金管理人法定代表人的授权书。基金托管人在收到授权通知原件并经电话确认后，授权通知即生效。如果授权</w:t>
      </w:r>
      <w:r>
        <w:rPr>
          <w:rFonts w:ascii="宋体" w:hAnsi="Calibri" w:cs="宋体"/>
          <w:color w:val="000000" w:themeColor="text1"/>
          <w:kern w:val="0"/>
          <w:szCs w:val="21"/>
          <w14:textFill>
            <w14:solidFill>
              <w14:schemeClr w14:val="tx1"/>
            </w14:solidFill>
          </w14:textFill>
        </w:rPr>
        <w:t>通知</w:t>
      </w:r>
      <w:r>
        <w:rPr>
          <w:rFonts w:hint="eastAsia" w:ascii="宋体" w:hAnsi="Calibri" w:cs="宋体"/>
          <w:color w:val="000000" w:themeColor="text1"/>
          <w:kern w:val="0"/>
          <w:szCs w:val="21"/>
          <w14:textFill>
            <w14:solidFill>
              <w14:schemeClr w14:val="tx1"/>
            </w14:solidFill>
          </w14:textFill>
        </w:rPr>
        <w:t>中载明具体生效时间的，该生效时间不得早于基金托管人收到授权</w:t>
      </w:r>
      <w:r>
        <w:rPr>
          <w:rFonts w:ascii="宋体" w:hAnsi="Calibri" w:cs="宋体"/>
          <w:color w:val="000000" w:themeColor="text1"/>
          <w:kern w:val="0"/>
          <w:szCs w:val="21"/>
          <w14:textFill>
            <w14:solidFill>
              <w14:schemeClr w14:val="tx1"/>
            </w14:solidFill>
          </w14:textFill>
        </w:rPr>
        <w:t>通知</w:t>
      </w:r>
      <w:r>
        <w:rPr>
          <w:rFonts w:hint="eastAsia" w:ascii="宋体" w:hAnsi="Calibri" w:cs="宋体"/>
          <w:color w:val="000000" w:themeColor="text1"/>
          <w:kern w:val="0"/>
          <w:szCs w:val="21"/>
          <w14:textFill>
            <w14:solidFill>
              <w14:schemeClr w14:val="tx1"/>
            </w14:solidFill>
          </w14:textFill>
        </w:rPr>
        <w:t>并经电话确认的时点。如早于前述时间，则以基金托管人收到授权</w:t>
      </w:r>
      <w:r>
        <w:rPr>
          <w:rFonts w:ascii="宋体" w:hAnsi="Calibri" w:cs="宋体"/>
          <w:color w:val="000000" w:themeColor="text1"/>
          <w:kern w:val="0"/>
          <w:szCs w:val="21"/>
          <w14:textFill>
            <w14:solidFill>
              <w14:schemeClr w14:val="tx1"/>
            </w14:solidFill>
          </w14:textFill>
        </w:rPr>
        <w:t>通知</w:t>
      </w:r>
      <w:r>
        <w:rPr>
          <w:rFonts w:hint="eastAsia" w:ascii="宋体" w:hAnsi="Calibri" w:cs="宋体"/>
          <w:color w:val="000000" w:themeColor="text1"/>
          <w:kern w:val="0"/>
          <w:szCs w:val="21"/>
          <w14:textFill>
            <w14:solidFill>
              <w14:schemeClr w14:val="tx1"/>
            </w14:solidFill>
          </w14:textFill>
        </w:rPr>
        <w:t>并经电话确认的时点为授权</w:t>
      </w:r>
      <w:r>
        <w:rPr>
          <w:rFonts w:ascii="宋体" w:hAnsi="Calibri" w:cs="宋体"/>
          <w:color w:val="000000" w:themeColor="text1"/>
          <w:kern w:val="0"/>
          <w:szCs w:val="21"/>
          <w14:textFill>
            <w14:solidFill>
              <w14:schemeClr w14:val="tx1"/>
            </w14:solidFill>
          </w14:textFill>
        </w:rPr>
        <w:t>通知</w:t>
      </w:r>
      <w:r>
        <w:rPr>
          <w:rFonts w:hint="eastAsia" w:ascii="宋体" w:hAnsi="Calibri" w:cs="宋体"/>
          <w:color w:val="000000" w:themeColor="text1"/>
          <w:kern w:val="0"/>
          <w:szCs w:val="21"/>
          <w14:textFill>
            <w14:solidFill>
              <w14:schemeClr w14:val="tx1"/>
            </w14:solidFill>
          </w14:textFill>
        </w:rPr>
        <w:t>的生效时间。</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对于基金管理人拟通过基金托管人</w:t>
      </w:r>
      <w:r>
        <w:rPr>
          <w:rFonts w:hint="eastAsia"/>
        </w:rPr>
        <w:t>网上托管银行</w:t>
      </w:r>
      <w:r>
        <w:rPr>
          <w:rFonts w:hint="eastAsia" w:ascii="宋体" w:hAnsi="Calibri" w:cs="宋体"/>
          <w:color w:val="000000" w:themeColor="text1"/>
          <w:kern w:val="0"/>
          <w:szCs w:val="21"/>
          <w14:textFill>
            <w14:solidFill>
              <w14:schemeClr w14:val="tx1"/>
            </w14:solidFill>
          </w14:textFill>
        </w:rPr>
        <w:t>发送划款指令的，基金管理人需与基金托管人签署相关服务协议。对于基金管理人通过深证通金融数据交换平台电子直连的方式向托管人发出划款指令的（以下简称“深证通电子直连”），基金管理人应确保划款指令合法有效。对于已通过深证通数据接口识别并进入基金托管人指令系统的划款指令，基金管理人不可否认其效力，并视为已通过基金管理人的适当授权。</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3</w:t>
      </w:r>
      <w:r>
        <w:rPr>
          <w:rFonts w:hint="eastAsia" w:ascii="宋体" w:hAnsi="Calibri" w:cs="宋体"/>
          <w:color w:val="000000" w:themeColor="text1"/>
          <w:kern w:val="0"/>
          <w:szCs w:val="21"/>
          <w14:textFill>
            <w14:solidFill>
              <w14:schemeClr w14:val="tx1"/>
            </w14:solidFill>
          </w14:textFill>
        </w:rPr>
        <w:t>、基金管理人和基金托管人对授权通知及其更改负有保密义务，除法律法规规定或有权机关要求外，其内容不得向指令发送人员及相关操作人员以外的任何人披露、泄露。</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（二）指令的内容</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指令包括付款指令（含赎回、分红付款指令、银行间业务划款指令）以及其他资金划拨指令等。对于通过传真或电子邮件发送扫描件方式发送的指令，基金管理人发送给基金托管人的划款指令应写明以下要素：资金用途、支付时间、金额、账户信息等，加盖预留印鉴并由被授权人签名或加盖名章；对于通过深证通电子直连方式发送的指令、</w:t>
      </w:r>
      <w:r>
        <w:rPr>
          <w:rFonts w:hint="eastAsia"/>
        </w:rPr>
        <w:t>网上托管银行发送的划款指令</w:t>
      </w:r>
      <w:r>
        <w:rPr>
          <w:rFonts w:hint="eastAsia" w:ascii="宋体" w:hAnsi="Calibri" w:cs="宋体"/>
          <w:color w:val="000000" w:themeColor="text1"/>
          <w:kern w:val="0"/>
          <w:szCs w:val="21"/>
          <w14:textFill>
            <w14:solidFill>
              <w14:schemeClr w14:val="tx1"/>
            </w14:solidFill>
          </w14:textFill>
        </w:rPr>
        <w:t>或由电子平台推送给基金管理人并需基金管理人确认后才能发送的划款指令，基金管理人的被授权人向基金托管人发送划款指令时应写明以下要素：资金用途、支付时间、金额、账户信息等（以上内容统称为“划款指令的书面要素”）。</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（三）指令的发送、确认和执行</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1</w:t>
      </w:r>
      <w:r>
        <w:rPr>
          <w:rFonts w:hint="eastAsia" w:ascii="宋体" w:hAnsi="Calibri" w:cs="宋体"/>
          <w:color w:val="000000" w:themeColor="text1"/>
          <w:kern w:val="0"/>
          <w:szCs w:val="21"/>
          <w14:textFill>
            <w14:solidFill>
              <w14:schemeClr w14:val="tx1"/>
            </w14:solidFill>
          </w14:textFill>
        </w:rPr>
        <w:t>、指令由“授权通知”确定的指令发送人员代表基金管理人通过传真、电子邮件发送扫描件、深证通电子直连或</w:t>
      </w:r>
      <w:r>
        <w:rPr>
          <w:rFonts w:hint="eastAsia"/>
        </w:rPr>
        <w:t>网上托管银行</w:t>
      </w:r>
      <w:r>
        <w:rPr>
          <w:rFonts w:hint="eastAsia" w:ascii="宋体" w:hAnsi="Calibri" w:cs="宋体"/>
          <w:color w:val="000000" w:themeColor="text1"/>
          <w:kern w:val="0"/>
          <w:szCs w:val="21"/>
          <w14:textFill>
            <w14:solidFill>
              <w14:schemeClr w14:val="tx1"/>
            </w14:solidFill>
          </w14:textFill>
        </w:rPr>
        <w:t>的方式向基金托管人发送。对于指令发送人员发出的指令，基金管理人不得否认其效力。</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基金管理人应按照《基金合同》和有关法律法规的规定，在其合法的经营权限和交易权限内，并依据相关业务规则发送指令。对于通过传真或电子邮件发送扫描件方式发送的划款指令，基金管理人有义务在发送划款指令后及时与基金托管人进行电话确认。因基金管理人未能及时与基金托管人进行指令确认，致使资金未能及时到账所造成的损失不由基金托管人承担。对于通过深证通电子直连或</w:t>
      </w:r>
      <w:r>
        <w:rPr>
          <w:rFonts w:hint="eastAsia"/>
        </w:rPr>
        <w:t>网上托管银行</w:t>
      </w:r>
      <w:r>
        <w:rPr>
          <w:rFonts w:hint="eastAsia" w:ascii="宋体" w:hAnsi="Calibri" w:cs="宋体"/>
          <w:color w:val="000000" w:themeColor="text1"/>
          <w:kern w:val="0"/>
          <w:szCs w:val="21"/>
          <w14:textFill>
            <w14:solidFill>
              <w14:schemeClr w14:val="tx1"/>
            </w14:solidFill>
          </w14:textFill>
        </w:rPr>
        <w:t>发送的划款指令，基金管理人需在划款指令跟踪界面查看划款指令是否完成。如果由于基金托管人自身过错影响资金未能及时到账所造成的损失由基金托管人承担。</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3</w:t>
      </w:r>
      <w:r>
        <w:rPr>
          <w:rFonts w:hint="eastAsia" w:ascii="宋体" w:hAnsi="Calibri" w:cs="宋体"/>
          <w:color w:val="000000" w:themeColor="text1"/>
          <w:kern w:val="0"/>
          <w:szCs w:val="21"/>
          <w14:textFill>
            <w14:solidFill>
              <w14:schemeClr w14:val="tx1"/>
            </w14:solidFill>
          </w14:textFill>
        </w:rPr>
        <w:t>、基金托管人在接收指令时，应对投资指令的书面要素进行表面一致性形式审查，并根据《基金合同》和有关法律法规的规定对指令的内容合规性进行检查。对于通过传真或电子邮件发送扫描件方式发送的指令，基金托管人表面一致性形式审查的方式限于验证划款指令的前述书面要素是否齐全、审核划款指令用章和签发人的签名或名章是否与预留印鉴样本、被授权人的签名样本或名章样本相符、操作权限是否与授权</w:t>
      </w:r>
      <w:r>
        <w:rPr>
          <w:rFonts w:ascii="宋体" w:hAnsi="Calibri" w:cs="宋体"/>
          <w:color w:val="000000" w:themeColor="text1"/>
          <w:kern w:val="0"/>
          <w:szCs w:val="21"/>
          <w14:textFill>
            <w14:solidFill>
              <w14:schemeClr w14:val="tx1"/>
            </w14:solidFill>
          </w14:textFill>
        </w:rPr>
        <w:t>通知</w:t>
      </w:r>
      <w:r>
        <w:rPr>
          <w:rFonts w:hint="eastAsia" w:ascii="宋体" w:hAnsi="Calibri" w:cs="宋体"/>
          <w:color w:val="000000" w:themeColor="text1"/>
          <w:kern w:val="0"/>
          <w:szCs w:val="21"/>
          <w14:textFill>
            <w14:solidFill>
              <w14:schemeClr w14:val="tx1"/>
            </w14:solidFill>
          </w14:textFill>
        </w:rPr>
        <w:t>一致；对于通过深证通电子直连或</w:t>
      </w:r>
      <w:r>
        <w:rPr>
          <w:rFonts w:hint="eastAsia"/>
        </w:rPr>
        <w:t>网上托管银行方式</w:t>
      </w:r>
      <w:r>
        <w:rPr>
          <w:rFonts w:hint="eastAsia" w:ascii="宋体" w:hAnsi="Calibri" w:cs="宋体"/>
          <w:color w:val="000000" w:themeColor="text1"/>
          <w:kern w:val="0"/>
          <w:szCs w:val="21"/>
          <w14:textFill>
            <w14:solidFill>
              <w14:schemeClr w14:val="tx1"/>
            </w14:solidFill>
          </w14:textFill>
        </w:rPr>
        <w:t>发送的划款指令，视为由基金管理人有效被授权人发送，基金托管人形式审查的方式限于验证划款指令的前述书面要素是否齐全。对表面一致性形式审查无误、合法合规有效、符合《基金合同》、本协议的指令，基金托管人应在规定期限内执行，不得延误，但由基金管理人保证付款条件已具备，包括但不限于保证头寸充足。</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4</w:t>
      </w:r>
      <w:r>
        <w:rPr>
          <w:rFonts w:hint="eastAsia" w:ascii="宋体" w:hAnsi="Calibri" w:cs="宋体"/>
          <w:color w:val="000000" w:themeColor="text1"/>
          <w:kern w:val="0"/>
          <w:szCs w:val="21"/>
          <w14:textFill>
            <w14:solidFill>
              <w14:schemeClr w14:val="tx1"/>
            </w14:solidFill>
          </w14:textFill>
        </w:rPr>
        <w:t>、基金管理人应在交易结束后将银行间同业市场债券交易成交单、相关文件及划款指令加盖印章后及时传真或通过其他双方认可的方式提供给基金托管人并电话确认，由基金托管人完成后台交易匹配及资金交收事宜。如果银行间结算系统已经生成的交易需要取消或终止，基金管理人要书面通知基金托管人。</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5</w:t>
      </w:r>
      <w:r>
        <w:rPr>
          <w:rFonts w:hint="eastAsia" w:ascii="宋体" w:hAnsi="Calibri" w:cs="宋体"/>
          <w:color w:val="000000" w:themeColor="text1"/>
          <w:kern w:val="0"/>
          <w:szCs w:val="21"/>
          <w14:textFill>
            <w14:solidFill>
              <w14:schemeClr w14:val="tx1"/>
            </w14:solidFill>
          </w14:textFill>
        </w:rPr>
        <w:t>、基金管理人在发送指令时，应为基金托管人执行指令留出执行指令时所必需的时间。发送指令日完成划款的指令，基金管理人应给基金托管人预留至少距划款截至时点</w:t>
      </w: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个工作小时（工作时间：工作日</w:t>
      </w:r>
      <w:r>
        <w:rPr>
          <w:rFonts w:ascii="宋体" w:hAnsi="Calibri" w:cs="宋体"/>
          <w:color w:val="000000" w:themeColor="text1"/>
          <w:kern w:val="0"/>
          <w:szCs w:val="21"/>
          <w14:textFill>
            <w14:solidFill>
              <w14:schemeClr w14:val="tx1"/>
            </w14:solidFill>
          </w14:textFill>
        </w:rPr>
        <w:t>9</w:t>
      </w: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00-11</w:t>
      </w: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30</w:t>
      </w: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13</w:t>
      </w: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00-17</w:t>
      </w: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00</w:t>
      </w:r>
      <w:r>
        <w:rPr>
          <w:rFonts w:hint="eastAsia" w:ascii="宋体" w:hAnsi="Calibri" w:cs="宋体"/>
          <w:color w:val="000000" w:themeColor="text1"/>
          <w:kern w:val="0"/>
          <w:szCs w:val="21"/>
          <w14:textFill>
            <w14:solidFill>
              <w14:schemeClr w14:val="tx1"/>
            </w14:solidFill>
          </w14:textFill>
        </w:rPr>
        <w:t>）的指令执行时间。因基金管理人原因导致指令传输不及时而未能留出足够的执行时间，致使指令未能及时执行所造成的损失由基金管理人承担。</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6</w:t>
      </w:r>
      <w:r>
        <w:rPr>
          <w:rFonts w:hint="eastAsia" w:ascii="宋体" w:hAnsi="Calibri" w:cs="宋体"/>
          <w:color w:val="000000" w:themeColor="text1"/>
          <w:kern w:val="0"/>
          <w:szCs w:val="21"/>
          <w14:textFill>
            <w14:solidFill>
              <w14:schemeClr w14:val="tx1"/>
            </w14:solidFill>
          </w14:textFill>
        </w:rPr>
        <w:t>、对于</w:t>
      </w:r>
      <w:r>
        <w:rPr>
          <w:rFonts w:ascii="宋体" w:hAnsi="Calibri" w:cs="宋体"/>
          <w:color w:val="000000" w:themeColor="text1"/>
          <w:kern w:val="0"/>
          <w:szCs w:val="21"/>
          <w14:textFill>
            <w14:solidFill>
              <w14:schemeClr w14:val="tx1"/>
            </w14:solidFill>
          </w14:textFill>
        </w:rPr>
        <w:t>T</w:t>
      </w:r>
      <w:r>
        <w:rPr>
          <w:rFonts w:hint="eastAsia" w:ascii="宋体" w:hAnsi="Calibri" w:cs="宋体"/>
          <w:color w:val="000000" w:themeColor="text1"/>
          <w:kern w:val="0"/>
          <w:szCs w:val="21"/>
          <w14:textFill>
            <w14:solidFill>
              <w14:schemeClr w14:val="tx1"/>
            </w14:solidFill>
          </w14:textFill>
        </w:rPr>
        <w:t>日交收的投资交易，基金管理人应于</w:t>
      </w:r>
      <w:r>
        <w:rPr>
          <w:rFonts w:ascii="宋体" w:hAnsi="Calibri" w:cs="宋体"/>
          <w:color w:val="000000" w:themeColor="text1"/>
          <w:kern w:val="0"/>
          <w:szCs w:val="21"/>
          <w14:textFill>
            <w14:solidFill>
              <w14:schemeClr w14:val="tx1"/>
            </w14:solidFill>
          </w14:textFill>
        </w:rPr>
        <w:t>T</w:t>
      </w:r>
      <w:r>
        <w:rPr>
          <w:rFonts w:hint="eastAsia" w:ascii="宋体" w:hAnsi="Calibri" w:cs="宋体"/>
          <w:color w:val="000000" w:themeColor="text1"/>
          <w:kern w:val="0"/>
          <w:szCs w:val="21"/>
          <w14:textFill>
            <w14:solidFill>
              <w14:schemeClr w14:val="tx1"/>
            </w14:solidFill>
          </w14:textFill>
        </w:rPr>
        <w:t>日</w:t>
      </w:r>
      <w:r>
        <w:rPr>
          <w:rFonts w:ascii="宋体" w:hAnsi="Calibri" w:cs="宋体"/>
          <w:color w:val="000000" w:themeColor="text1"/>
          <w:kern w:val="0"/>
          <w:szCs w:val="21"/>
          <w14:textFill>
            <w14:solidFill>
              <w14:schemeClr w14:val="tx1"/>
            </w14:solidFill>
          </w14:textFill>
        </w:rPr>
        <w:t>15:00</w:t>
      </w:r>
      <w:r>
        <w:rPr>
          <w:rFonts w:hint="eastAsia" w:ascii="宋体" w:hAnsi="Calibri" w:cs="宋体"/>
          <w:color w:val="000000" w:themeColor="text1"/>
          <w:kern w:val="0"/>
          <w:szCs w:val="21"/>
          <w14:textFill>
            <w14:solidFill>
              <w14:schemeClr w14:val="tx1"/>
            </w14:solidFill>
          </w14:textFill>
        </w:rPr>
        <w:t>之前发送指令至基金托管人并进行电话确认，基金托管人应根据本协议要求按投资指令执行。</w:t>
      </w:r>
      <w:r>
        <w:rPr>
          <w:rFonts w:ascii="宋体" w:hAnsi="Calibri" w:cs="宋体"/>
          <w:color w:val="000000" w:themeColor="text1"/>
          <w:kern w:val="0"/>
          <w:szCs w:val="21"/>
          <w14:textFill>
            <w14:solidFill>
              <w14:schemeClr w14:val="tx1"/>
            </w14:solidFill>
          </w14:textFill>
        </w:rPr>
        <w:t>15:00</w:t>
      </w:r>
      <w:r>
        <w:rPr>
          <w:rFonts w:hint="eastAsia" w:ascii="宋体" w:hAnsi="Calibri" w:cs="宋体"/>
          <w:color w:val="000000" w:themeColor="text1"/>
          <w:kern w:val="0"/>
          <w:szCs w:val="21"/>
          <w14:textFill>
            <w14:solidFill>
              <w14:schemeClr w14:val="tx1"/>
            </w14:solidFill>
          </w14:textFill>
        </w:rPr>
        <w:t>之后发送的，基金托管人尽力执行但不保证执行成功，由于基金管理人未能按照规定时间内向基金托管人发送指令导致划付失败的，基金管理人承担该责任，基金托管人不承担该责任。</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7</w:t>
      </w:r>
      <w:r>
        <w:rPr>
          <w:rFonts w:hint="eastAsia" w:ascii="宋体" w:hAnsi="Calibri" w:cs="宋体"/>
          <w:color w:val="000000" w:themeColor="text1"/>
          <w:kern w:val="0"/>
          <w:szCs w:val="21"/>
          <w14:textFill>
            <w14:solidFill>
              <w14:schemeClr w14:val="tx1"/>
            </w14:solidFill>
          </w14:textFill>
        </w:rPr>
        <w:t>、基金管理人应确保基金托管人在执行指令时基金的银行存款账户有足够的资金余额，确保基金的证券账户有足够的证券余额。对超头寸的指令基金托管人可不予执行，但应及时通知基金管理人，由此造成的损失，由基金管理人承担。</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（四）基金管理人发送错误指令的情形和处理程序</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管理人发送错误指令的情形包括指令违反法律法规和本协议、监管规定、《基金合同》和本协议约定的指令发送人员无权或超越权限发送指令，指令发送人员发送的指令不能辨识或投资指令的要素不全导致无法执行等情形。</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托管人发现基金管理人的指令错误时，有权视情况暂缓或拒绝执行，并及时通知基金管理人改正。基金管理人如需撤销指令，应在基金托管人执行指令之前出具书面撤销说明或在原指令上注明“作废”，并加盖预留印鉴发送给基金托管人，并与基金托管人进行电话确认，基金托管人确认后，该书面撤回的说明或指令生效。如果基金托管人在收到书面撤销的说明或指令前已执行原指令，由此造成的损失由基金管理人承担。但基金托管人未尽指令审核义务导致执行错误指令的，也应对由此造成的损失承担相应的责任。</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（五）基金托管人依照法律法规暂缓、拒绝执行指令的情形和处理程序</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若基金托管人发现基金管理人依据交易程序已经生效的指令违反法律、行政法规、监管规定和其他有关规定，或者违反《基金合同》和本协议约定的，应当及时通知基金管理人，由此造成的损失由基金管理人承担。</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（六）被授权人员及授权权限的变更</w:t>
      </w:r>
      <w:r>
        <w:rPr>
          <w:rFonts w:ascii="宋体" w:hAnsi="Calibri" w:cs="宋体"/>
          <w:color w:val="000000" w:themeColor="text1"/>
          <w:kern w:val="0"/>
          <w:szCs w:val="21"/>
          <w14:textFill>
            <w14:solidFill>
              <w14:schemeClr w14:val="tx1"/>
            </w14:solidFill>
          </w14:textFill>
        </w:rPr>
        <w:tab/>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管理人更换被授权人、更改或终止对被授权人的授权，应立即将加盖公章的新的授权文件以邮件发送扫描件的方式通知基金托管人，并经电话确认后生效，原授权文件同时废止。新的授权文件应当在邮件发出后七个工作日内送达托管人文件正本。新的授权文件生效之后，正本送达之前，基金托管人按照新的授权文件扫描件内容执行有关业务，如果新的授权文件正本与扫描件内容不同，由此产生的责任由基金管理人承担。基金托管人更换接受基金管理人指令的传真号或邮箱地址，应提前通知基金管理人。</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（七）其他事项</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除因其自身故意或重大过失原因致使基金的利益受到损害而负赔偿责任外，基金托管人按照法律法规、本协议的规定执行基金管理人指令而引起的任何损失，基金托管人不负赔偿责任。</w:t>
      </w:r>
    </w:p>
    <w:p>
      <w:pPr>
        <w:pStyle w:val="2"/>
        <w:numPr>
          <w:ilvl w:val="0"/>
          <w:numId w:val="1"/>
        </w:numPr>
        <w:spacing w:before="120" w:after="120" w:line="360" w:lineRule="auto"/>
        <w:jc w:val="center"/>
        <w:rPr>
          <w:rFonts w:ascii="宋体"/>
          <w:color w:val="000000" w:themeColor="text1"/>
          <w:kern w:val="0"/>
          <w:sz w:val="24"/>
          <w:szCs w:val="24"/>
          <w14:textFill>
            <w14:solidFill>
              <w14:schemeClr w14:val="tx1"/>
            </w14:solidFill>
          </w14:textFill>
        </w:rPr>
      </w:pPr>
      <w:bookmarkStart w:id="12" w:name="_Toc421544159"/>
      <w:bookmarkEnd w:id="12"/>
      <w:bookmarkStart w:id="13" w:name="_Toc170895817"/>
      <w:bookmarkStart w:id="14" w:name="_Toc394474002"/>
      <w:r>
        <w:rPr>
          <w:rFonts w:hint="eastAsia" w:ascii="宋体"/>
          <w:color w:val="000000" w:themeColor="text1"/>
          <w:kern w:val="0"/>
          <w:sz w:val="24"/>
          <w:szCs w:val="24"/>
          <w14:textFill>
            <w14:solidFill>
              <w14:schemeClr w14:val="tx1"/>
            </w14:solidFill>
          </w14:textFill>
        </w:rPr>
        <w:t>交易及清算交收安排</w:t>
      </w:r>
      <w:bookmarkEnd w:id="13"/>
      <w:bookmarkEnd w:id="14"/>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（一）选择证券买卖的证券经营机构</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管理人应设计选择证券买卖的证券经营机构的标准和程序。基金管理人应代表基金与被选择的证券经纪机构签订证券经纪合同或其他约定的形式。基金管理人、基金托管人和证券经纪机构就本基金参与证券交易的具体事项另行签订证券经纪服务协议，明确三方在本基金参与场内证券买卖中的各类证券交易、证券交收及相关资金交收过程中的职责和义务。基金管理人应及时将基金佣金费率等基本信息以及变更情况以书面形式通知基金托管人,并在法定信息披露公告中披露关于选择证券公司的标准和程序等信息。</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本基金在开始进行期货投资之前，应与基金托管人、期货公司三方一同就期货开户、清算、估值、交收等事宜另行签署《期货投资托管操作三方备忘录》。</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（二）基金投资证券后的清算交收安排</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1.基金通过证券经纪机构进行的交易由证券经纪机构作为结算参与人代理本基金进行结算，本基金通过期货经纪机构进行的交易由期货经纪机构作为结算参与人代理本基金进行结算。本基金其它证券交易由基金托管人或相关机构负责结算，场外资金汇划由基金托管人根据基金管理人的场外交易划款指令具体办理。</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证券经纪机构代理本基金财产与中登公司完成证券交易及非交易涉及的证券资金结算业务，并承担由证券经纪机构原因造成的正常结算、交收业务无法完成的责任；若由于基金管理人原因造成的正常结算业务无法完成，责任由基金管理人承担。</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对于任何原因发生的证券资金交收违约事件，相关各方应当及时协商解决。 由于相关方过错在清算上造成基金财产的直接损失，应由过错方承担相应责任。</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2.资金、证券账目和交易记录核对</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1</w:t>
      </w:r>
      <w:r>
        <w:rPr>
          <w:rFonts w:hint="eastAsia" w:ascii="宋体" w:hAnsi="Calibri" w:cs="宋体"/>
          <w:color w:val="000000" w:themeColor="text1"/>
          <w:kern w:val="0"/>
          <w:szCs w:val="21"/>
          <w14:textFill>
            <w14:solidFill>
              <w14:schemeClr w14:val="tx1"/>
            </w14:solidFill>
          </w14:textFill>
        </w:rPr>
        <w:t>）交易记录的核对</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管理人和基金托管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）资金账目的核对</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资金账目按日核实。</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3</w:t>
      </w:r>
      <w:r>
        <w:rPr>
          <w:rFonts w:hint="eastAsia" w:ascii="宋体" w:hAnsi="Calibri" w:cs="宋体"/>
          <w:color w:val="000000" w:themeColor="text1"/>
          <w:kern w:val="0"/>
          <w:szCs w:val="21"/>
          <w14:textFill>
            <w14:solidFill>
              <w14:schemeClr w14:val="tx1"/>
            </w14:solidFill>
          </w14:textFill>
        </w:rPr>
        <w:t>）证券账目的核对</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基金管理人和基金托管人每交易日结束后核对基金交易所场内证券账目，确保双方账目相符。</w:t>
      </w:r>
    </w:p>
    <w:p>
      <w:pPr>
        <w:autoSpaceDE w:val="0"/>
        <w:autoSpaceDN w:val="0"/>
        <w:adjustRightInd w:val="0"/>
        <w:spacing w:line="360" w:lineRule="auto"/>
        <w:ind w:firstLine="420" w:firstLineChars="200"/>
      </w:pPr>
      <w:r>
        <w:rPr>
          <w:rFonts w:hint="eastAsia"/>
        </w:rPr>
        <w:t>（三）基金申购和赎回业务处理的基本规定</w:t>
      </w:r>
    </w:p>
    <w:p>
      <w:pPr>
        <w:autoSpaceDE w:val="0"/>
        <w:autoSpaceDN w:val="0"/>
        <w:adjustRightInd w:val="0"/>
        <w:spacing w:line="360" w:lineRule="auto"/>
        <w:ind w:firstLine="420" w:firstLineChars="200"/>
      </w:pPr>
      <w:r>
        <w:rPr>
          <w:rFonts w:hint="eastAsia"/>
        </w:rPr>
        <w:t>1.基金份额申购、赎回的确认、清算由基金管理人或其委托的注册登记机构负责。</w:t>
      </w:r>
    </w:p>
    <w:p>
      <w:pPr>
        <w:autoSpaceDE w:val="0"/>
        <w:autoSpaceDN w:val="0"/>
        <w:adjustRightInd w:val="0"/>
        <w:spacing w:line="360" w:lineRule="auto"/>
        <w:ind w:firstLine="420" w:firstLineChars="200"/>
      </w:pPr>
      <w:r>
        <w:rPr>
          <w:rFonts w:hint="eastAsia"/>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pPr>
        <w:autoSpaceDE w:val="0"/>
        <w:autoSpaceDN w:val="0"/>
        <w:adjustRightInd w:val="0"/>
        <w:spacing w:line="360" w:lineRule="auto"/>
        <w:ind w:firstLine="420" w:firstLineChars="200"/>
      </w:pPr>
      <w:r>
        <w:rPr>
          <w:rFonts w:hint="eastAsia"/>
        </w:rPr>
        <w:t>3.基金管理人应保证本基金（或本基金管理人委托）的注册登记机构每个工作日15:00前向基金托管人发送前一开放日上述有关数据，并保证相关数据的准确、完整。</w:t>
      </w:r>
    </w:p>
    <w:p>
      <w:pPr>
        <w:autoSpaceDE w:val="0"/>
        <w:autoSpaceDN w:val="0"/>
        <w:adjustRightInd w:val="0"/>
        <w:spacing w:line="360" w:lineRule="auto"/>
        <w:ind w:firstLine="420" w:firstLineChars="200"/>
      </w:pPr>
      <w:r>
        <w:rPr>
          <w:rFonts w:hint="eastAsia"/>
        </w:rPr>
        <w:t>4.注册登记机构应通过与基金托管人建立的加密系统发送有关数据，如因各种原因，该系统无法正常发送，双方可协商解决处理方式。基金管理人向基金托管人发送的数据，双方各自按有关规定保存。</w:t>
      </w:r>
    </w:p>
    <w:p>
      <w:pPr>
        <w:autoSpaceDE w:val="0"/>
        <w:autoSpaceDN w:val="0"/>
        <w:adjustRightInd w:val="0"/>
        <w:spacing w:line="360" w:lineRule="auto"/>
        <w:ind w:firstLine="420" w:firstLineChars="200"/>
      </w:pPr>
      <w:r>
        <w:rPr>
          <w:rFonts w:hint="eastAsia"/>
        </w:rPr>
        <w:t>5.如基金管理人委托其他机构办理本基金的注册登记业务，应保证上述相关事宜按时进行。否则，由基金管理人承担相应的责任。</w:t>
      </w:r>
    </w:p>
    <w:p>
      <w:pPr>
        <w:autoSpaceDE w:val="0"/>
        <w:autoSpaceDN w:val="0"/>
        <w:adjustRightInd w:val="0"/>
        <w:spacing w:line="360" w:lineRule="auto"/>
        <w:ind w:firstLine="420" w:firstLineChars="200"/>
      </w:pPr>
      <w:r>
        <w:rPr>
          <w:rFonts w:hint="eastAsia"/>
        </w:rPr>
        <w:t>6.关于清算专用账户的设立和管理</w:t>
      </w:r>
    </w:p>
    <w:p>
      <w:pPr>
        <w:autoSpaceDE w:val="0"/>
        <w:autoSpaceDN w:val="0"/>
        <w:adjustRightInd w:val="0"/>
        <w:spacing w:line="360" w:lineRule="auto"/>
        <w:ind w:firstLine="420" w:firstLineChars="200"/>
      </w:pPr>
      <w:r>
        <w:rPr>
          <w:rFonts w:hint="eastAsia"/>
        </w:rPr>
        <w:t>为满足申购、赎回及分红资金汇划的需要，由基金管理人开立资金清算的专用账户，该账户由注册登记机构管理。</w:t>
      </w:r>
    </w:p>
    <w:p>
      <w:pPr>
        <w:autoSpaceDE w:val="0"/>
        <w:autoSpaceDN w:val="0"/>
        <w:adjustRightInd w:val="0"/>
        <w:spacing w:line="360" w:lineRule="auto"/>
        <w:ind w:firstLine="420" w:firstLineChars="200"/>
      </w:pPr>
      <w:r>
        <w:rPr>
          <w:rFonts w:hint="eastAsia"/>
        </w:rPr>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w:t>
      </w:r>
    </w:p>
    <w:p>
      <w:pPr>
        <w:autoSpaceDE w:val="0"/>
        <w:autoSpaceDN w:val="0"/>
        <w:adjustRightInd w:val="0"/>
        <w:spacing w:line="360" w:lineRule="auto"/>
        <w:ind w:firstLine="420" w:firstLineChars="200"/>
      </w:pPr>
      <w:r>
        <w:rPr>
          <w:rFonts w:hint="eastAsia"/>
        </w:rPr>
        <w:t>8.赎回和分红资金划拨规定</w:t>
      </w:r>
    </w:p>
    <w:p>
      <w:pPr>
        <w:autoSpaceDE w:val="0"/>
        <w:autoSpaceDN w:val="0"/>
        <w:adjustRightInd w:val="0"/>
        <w:spacing w:line="360" w:lineRule="auto"/>
        <w:ind w:firstLine="420" w:firstLineChars="200"/>
      </w:pPr>
      <w:r>
        <w:rPr>
          <w:rFonts w:hint="eastAsia"/>
        </w:rPr>
        <w:t>拨付赎回款或进行基金分红时，如基金托管资金账户有足够的资金，基金托管人应按时拨付；因基金托管资金账户没有足够的资金，导致基金托管人不能按时拨付，如系基金管理人的原因造成，责任由基金管理人承担，基金托管人不承担垫款义务。</w:t>
      </w:r>
    </w:p>
    <w:p>
      <w:pPr>
        <w:autoSpaceDE w:val="0"/>
        <w:autoSpaceDN w:val="0"/>
        <w:adjustRightInd w:val="0"/>
        <w:spacing w:line="360" w:lineRule="auto"/>
        <w:ind w:firstLine="420" w:firstLineChars="200"/>
      </w:pPr>
      <w:r>
        <w:rPr>
          <w:rFonts w:hint="eastAsia"/>
        </w:rPr>
        <w:t>9.资金指令</w:t>
      </w:r>
    </w:p>
    <w:p>
      <w:pPr>
        <w:autoSpaceDE w:val="0"/>
        <w:autoSpaceDN w:val="0"/>
        <w:adjustRightInd w:val="0"/>
        <w:spacing w:line="360" w:lineRule="auto"/>
        <w:ind w:firstLine="420" w:firstLineChars="200"/>
      </w:pPr>
      <w:r>
        <w:rPr>
          <w:rFonts w:hint="eastAsia"/>
        </w:rPr>
        <w:t>除申购款项到达基金托管资金账户需双方按约定方式对账外，回购到期付款和与投资有关的付款、赎回和分红资金划拨时，基金管理人需向基金托管人下达指令。</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rPr>
        <w:t>资金指令的格式、内容、发送、接收和确认方式等与投资指令相同。</w:t>
      </w:r>
      <w:r>
        <w:rPr>
          <w:rFonts w:hint="eastAsia" w:ascii="宋体" w:hAnsi="Calibri" w:cs="宋体"/>
          <w:color w:val="000000" w:themeColor="text1"/>
          <w:kern w:val="0"/>
          <w:szCs w:val="21"/>
          <w14:textFill>
            <w14:solidFill>
              <w14:schemeClr w14:val="tx1"/>
            </w14:solidFill>
          </w14:textFill>
        </w:rPr>
        <w:t>（四）申购、赎回的资金清算</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托管资金账户与“基金清算账户”间的资金清算遵循“全额清算、净额交收”的原则，即按照托管资金账户当日应收额（包括申购资金及基金转换转入款）与托管资金账户应付额（含赎回资金、赎回费、基金转换转出款及转换费）的差额来确定托管资金账户净应收额或净应付额，以此确定资金交收额。当存在托管资金账户净应收额时，基金管理人负责将托管资金账户净应收额在交收日15:00前从“基金清算账户”划到基金托管资金账户；当存在托管资金账户净应付额时，基金管理人应在T-1日将划款指令发送给基金托管人，基金托管人按基金管理人的划款指令将托管资金账户净应付额在交收日12:00前划到“基金清算账户”。</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对于基金申购、赎回过程中产生的应收款，应由基金管理人负责与有关当事人确定到账日期并通知基金托管人，到账日应收款没有到达托管资金账户的，基金托管人应及时通知基金管理人采取措施进行催收，由此给基金造成损失的，基金管理人负责向责任方追偿基金的损失。拨付净应付款时，如基金托管资金账户有足够的资金，基金托管人应按时拨付；因基金托管资金账户没有足够的资金，导致基金托管人不能按时拨付，托管人不承担责任；如系基金管理人的原因造成，责任由基金管理人承担，基金托管人不承担垫款义务。</w:t>
      </w:r>
    </w:p>
    <w:p>
      <w:pPr>
        <w:pStyle w:val="2"/>
        <w:numPr>
          <w:ilvl w:val="0"/>
          <w:numId w:val="1"/>
        </w:numPr>
        <w:spacing w:before="120" w:after="120" w:line="360" w:lineRule="auto"/>
        <w:jc w:val="center"/>
        <w:rPr>
          <w:rFonts w:ascii="宋体"/>
          <w:color w:val="000000" w:themeColor="text1"/>
          <w:kern w:val="0"/>
          <w:sz w:val="24"/>
          <w:szCs w:val="24"/>
          <w14:textFill>
            <w14:solidFill>
              <w14:schemeClr w14:val="tx1"/>
            </w14:solidFill>
          </w14:textFill>
        </w:rPr>
      </w:pPr>
      <w:bookmarkStart w:id="15" w:name="_Toc421544161"/>
      <w:bookmarkEnd w:id="15"/>
      <w:bookmarkStart w:id="16" w:name="_Toc394474003"/>
      <w:bookmarkStart w:id="17" w:name="_Toc170895818"/>
      <w:r>
        <w:rPr>
          <w:rFonts w:hint="eastAsia" w:ascii="宋体"/>
          <w:color w:val="000000" w:themeColor="text1"/>
          <w:kern w:val="0"/>
          <w:sz w:val="24"/>
          <w:szCs w:val="24"/>
          <w14:textFill>
            <w14:solidFill>
              <w14:schemeClr w14:val="tx1"/>
            </w14:solidFill>
          </w14:textFill>
        </w:rPr>
        <w:t>基金资产净值计算和会计核算</w:t>
      </w:r>
      <w:bookmarkEnd w:id="16"/>
      <w:bookmarkEnd w:id="17"/>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（一）基金资产净值的计算和复核</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1</w:t>
      </w:r>
      <w:r>
        <w:rPr>
          <w:rFonts w:hint="eastAsia" w:ascii="宋体" w:hAnsi="Calibri" w:cs="宋体"/>
          <w:color w:val="000000" w:themeColor="text1"/>
          <w:kern w:val="0"/>
          <w:szCs w:val="21"/>
          <w14:textFill>
            <w14:solidFill>
              <w14:schemeClr w14:val="tx1"/>
            </w14:solidFill>
          </w14:textFill>
        </w:rPr>
        <w:t>、基金资产净值</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基金资产净值是指基金资产总值减去基金负债后的价值。</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各类基金份额净值是按照每个工作日闭市后，各类基金资产净值除以当日该类基金份额的余额数量计算，精确到0.0001元，小数点后第5位四舍五入。基金管理人可以设立大额赎回情形下的净值精度应急调整机制。国家另有规定的，从其规定。</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基金管理人于每个工作日计算基金资产净值及各类基金份额净值，并按规定公告。</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、复核程序</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管理人应每个工作日对基金资产估值，但基金管理人根据法律法规或基金合同的规定暂停估值时除外。基金管理人每个工作日对基金资产估值后，将基金净值信息结果发送基金托管人，经基金托管人复核无误后，由基金管理人对外公布。</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管理人负责基金资产净值计算和基金会计核算，并担任基金会计责任方。就与本基金有关的会计问题，如经相关各方在平等基础上充分讨论后，仍无法达成一致的意见，基金管理人向基金托管人出具盖章的书面说明后，按照基金管理人对基金净值信息的计算结果对外予以公布。</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（二）基金资产估值方法</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1</w:t>
      </w:r>
      <w:r>
        <w:rPr>
          <w:rFonts w:hint="eastAsia" w:ascii="宋体" w:hAnsi="Calibri" w:cs="宋体"/>
          <w:color w:val="000000" w:themeColor="text1"/>
          <w:kern w:val="0"/>
          <w:szCs w:val="21"/>
          <w14:textFill>
            <w14:solidFill>
              <w14:schemeClr w14:val="tx1"/>
            </w14:solidFill>
          </w14:textFill>
        </w:rPr>
        <w:t>、估值对象</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基金所拥有的目标ETF基金份额、股票、存托凭证、债券、资产支持证券、股指期货合约、国债期货合约、股票期权合约和银行存款本息、应收款项、其它投资等资产及负债。</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、估值方法</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（1）目标ETF基金份额的估值</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本基金持有的目标ETF基金份额按估值日目标ETF基金的基金份额净值估值。如该日目标ETF未公布净值，则按该日目标ETF的最近公布的净值估值。</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（2）证券交易所上市的股票品种的估值：</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1）交易所上市的股票品种，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2）交易所上市不存在活跃市场的股票品种，采用估值技术确定公允价值。</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（3）处于未上市期间的股票品种应区分如下情况处理：</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1）送股、转增股、配股和公开增发的新股，按估值日在证券交易所挂牌的同一股票的估值方法估值；该日无交易的，以最近一日的市价（收盘价）估值。</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2）首次公开发行未上市的股票品种，采用估值技术确定公允价值。</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（4）已上市或已挂牌转让的不含权固定收益品种选取第三方估值基准服务机构提供的相应品种当日的估值全价进行估值，涉税处理应根据相关法律、法规的规定执行。</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（5）已上市或已挂牌转让的含权固定收益品种选取第三方估值基准服务机构提供的相应品种当日的唯一估值全价或推荐估值全价进行估值。</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对于含投资者回售权的固定收益品种，行使回售权的，在回售登记日至实际收款日期间选取第三方估值基准服务机构提供的相应品种的唯一估值全价或推荐估值全价进行估值，同时将充分考虑发行人的信用风险变化对公允价值的影响。回售登记期截止日（含当日）后未行使回售权的按照长待偿期所对应的价格进行估值。</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6）对于在交易所市场上市交易的公开发行的可转换债券等有活跃市场的含转股权的债券，实行全价交易的债券选取估值日收盘价作为估值全价进行估值；实行净价交易的债券选取估值日收盘价并加计每百元税前应计利息作为估值全价进行估值。</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（7）对于未上市或未挂牌转让且不存在活跃市场的固定收益品种，采用在当前情况下适用并且有足够可利用数据和其他信息支持的估值技术确定其公允价值。</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8</w:t>
      </w:r>
      <w:r>
        <w:rPr>
          <w:rFonts w:hint="eastAsia" w:ascii="宋体" w:hAnsi="Calibri" w:cs="宋体"/>
          <w:color w:val="000000" w:themeColor="text1"/>
          <w:kern w:val="0"/>
          <w:szCs w:val="21"/>
          <w14:textFill>
            <w14:solidFill>
              <w14:schemeClr w14:val="tx1"/>
            </w14:solidFill>
          </w14:textFill>
        </w:rPr>
        <w:t>）同一证券同时在两个或两个以上市场交易的，按证券所处的市场分别估值。</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9</w:t>
      </w:r>
      <w:r>
        <w:rPr>
          <w:rFonts w:hint="eastAsia" w:ascii="宋体" w:hAnsi="Calibri" w:cs="宋体"/>
          <w:color w:val="000000" w:themeColor="text1"/>
          <w:kern w:val="0"/>
          <w:szCs w:val="21"/>
          <w14:textFill>
            <w14:solidFill>
              <w14:schemeClr w14:val="tx1"/>
            </w14:solidFill>
          </w14:textFill>
        </w:rPr>
        <w:t>）本基金投资股指期货、国债期货等合约，一般以估值当日结算价进行估值，估值当日无结算价的，且最近交易日后经济环境未发生重大变化的，采用最近交易日结算价估值。</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10</w:t>
      </w:r>
      <w:r>
        <w:rPr>
          <w:rFonts w:hint="eastAsia" w:ascii="宋体" w:hAnsi="Calibri" w:cs="宋体"/>
          <w:color w:val="000000" w:themeColor="text1"/>
          <w:kern w:val="0"/>
          <w:szCs w:val="21"/>
          <w14:textFill>
            <w14:solidFill>
              <w14:schemeClr w14:val="tx1"/>
            </w14:solidFill>
          </w14:textFill>
        </w:rPr>
        <w:t>）本基金投资股票期权，根据相关法律法规以及监管部门的规定估值。</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11</w:t>
      </w:r>
      <w:r>
        <w:rPr>
          <w:rFonts w:hint="eastAsia" w:ascii="宋体" w:hAnsi="Calibri" w:cs="宋体"/>
          <w:color w:val="000000" w:themeColor="text1"/>
          <w:kern w:val="0"/>
          <w:szCs w:val="21"/>
          <w14:textFill>
            <w14:solidFill>
              <w14:schemeClr w14:val="tx1"/>
            </w14:solidFill>
          </w14:textFill>
        </w:rPr>
        <w:t>）本基金投资同业存单，采用估值日第三方估值机构提供的估值价格数据进行估值。</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12</w:t>
      </w:r>
      <w:r>
        <w:rPr>
          <w:rFonts w:hint="eastAsia" w:ascii="宋体" w:hAnsi="Calibri" w:cs="宋体"/>
          <w:color w:val="000000" w:themeColor="text1"/>
          <w:kern w:val="0"/>
          <w:szCs w:val="21"/>
          <w14:textFill>
            <w14:solidFill>
              <w14:schemeClr w14:val="tx1"/>
            </w14:solidFill>
          </w14:textFill>
        </w:rPr>
        <w:t>）持有的银行定期存款或通知存款以本金列示，按相应利率逐日计提利息。</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（1</w:t>
      </w:r>
      <w:r>
        <w:rPr>
          <w:rFonts w:ascii="宋体" w:hAnsi="Calibri" w:cs="宋体"/>
          <w:color w:val="000000" w:themeColor="text1"/>
          <w:kern w:val="0"/>
          <w:szCs w:val="21"/>
          <w14:textFill>
            <w14:solidFill>
              <w14:schemeClr w14:val="tx1"/>
            </w14:solidFill>
          </w14:textFill>
        </w:rPr>
        <w:t>3</w:t>
      </w:r>
      <w:r>
        <w:rPr>
          <w:rFonts w:hint="eastAsia" w:ascii="宋体" w:hAnsi="Calibri" w:cs="宋体"/>
          <w:color w:val="000000" w:themeColor="text1"/>
          <w:kern w:val="0"/>
          <w:szCs w:val="21"/>
          <w14:textFill>
            <w14:solidFill>
              <w14:schemeClr w14:val="tx1"/>
            </w14:solidFill>
          </w14:textFill>
        </w:rPr>
        <w:t>）本基金投资存托凭证的估值核算，依照境内上市交易的股票执行。</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（1</w:t>
      </w:r>
      <w:r>
        <w:rPr>
          <w:rFonts w:ascii="宋体" w:hAnsi="Calibri" w:cs="宋体"/>
          <w:color w:val="000000" w:themeColor="text1"/>
          <w:kern w:val="0"/>
          <w:szCs w:val="21"/>
          <w14:textFill>
            <w14:solidFill>
              <w14:schemeClr w14:val="tx1"/>
            </w14:solidFill>
          </w14:textFill>
        </w:rPr>
        <w:t>4</w:t>
      </w:r>
      <w:r>
        <w:rPr>
          <w:rFonts w:hint="eastAsia" w:ascii="宋体" w:hAnsi="Calibri" w:cs="宋体"/>
          <w:color w:val="000000" w:themeColor="text1"/>
          <w:kern w:val="0"/>
          <w:szCs w:val="21"/>
          <w14:textFill>
            <w14:solidFill>
              <w14:schemeClr w14:val="tx1"/>
            </w14:solidFill>
          </w14:textFill>
        </w:rPr>
        <w:t>）本基金参与融资及转融通证券出借业务的，按照相关法律法规、监管部门和行业协会的相关规定进行估值。</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（1</w:t>
      </w:r>
      <w:r>
        <w:rPr>
          <w:rFonts w:ascii="宋体" w:hAnsi="Calibri" w:cs="宋体"/>
          <w:color w:val="000000" w:themeColor="text1"/>
          <w:kern w:val="0"/>
          <w:szCs w:val="21"/>
          <w14:textFill>
            <w14:solidFill>
              <w14:schemeClr w14:val="tx1"/>
            </w14:solidFill>
          </w14:textFill>
        </w:rPr>
        <w:t>5</w:t>
      </w:r>
      <w:r>
        <w:rPr>
          <w:rFonts w:hint="eastAsia" w:ascii="宋体" w:hAnsi="Calibri" w:cs="宋体"/>
          <w:color w:val="000000" w:themeColor="text1"/>
          <w:kern w:val="0"/>
          <w:szCs w:val="21"/>
          <w14:textFill>
            <w14:solidFill>
              <w14:schemeClr w14:val="tx1"/>
            </w14:solidFill>
          </w14:textFill>
        </w:rPr>
        <w:t>）如有确凿证据表明按上述方法进行估值不能客观反映其公允价值的，基金管理人可根据具体情况与基金托管人商定后，按最能反映公允价值的价格估值。</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（1</w:t>
      </w:r>
      <w:r>
        <w:rPr>
          <w:rFonts w:ascii="宋体" w:hAnsi="Calibri" w:cs="宋体"/>
          <w:color w:val="000000" w:themeColor="text1"/>
          <w:kern w:val="0"/>
          <w:szCs w:val="21"/>
          <w14:textFill>
            <w14:solidFill>
              <w14:schemeClr w14:val="tx1"/>
            </w14:solidFill>
          </w14:textFill>
        </w:rPr>
        <w:t>6</w:t>
      </w:r>
      <w:r>
        <w:rPr>
          <w:rFonts w:hint="eastAsia" w:ascii="宋体" w:hAnsi="Calibri" w:cs="宋体"/>
          <w:color w:val="000000" w:themeColor="text1"/>
          <w:kern w:val="0"/>
          <w:szCs w:val="21"/>
          <w14:textFill>
            <w14:solidFill>
              <w14:schemeClr w14:val="tx1"/>
            </w14:solidFill>
          </w14:textFill>
        </w:rPr>
        <w:t>）当发生大额申购或赎回情形时，基金管理人可以采用摆动定价机制，以确保基金估值的公平性。</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（1</w:t>
      </w:r>
      <w:r>
        <w:rPr>
          <w:rFonts w:ascii="宋体" w:hAnsi="Calibri" w:cs="宋体"/>
          <w:color w:val="000000" w:themeColor="text1"/>
          <w:kern w:val="0"/>
          <w:szCs w:val="21"/>
          <w14:textFill>
            <w14:solidFill>
              <w14:schemeClr w14:val="tx1"/>
            </w14:solidFill>
          </w14:textFill>
        </w:rPr>
        <w:t>7</w:t>
      </w:r>
      <w:r>
        <w:rPr>
          <w:rFonts w:hint="eastAsia" w:ascii="宋体" w:hAnsi="Calibri" w:cs="宋体"/>
          <w:color w:val="000000" w:themeColor="text1"/>
          <w:kern w:val="0"/>
          <w:szCs w:val="21"/>
          <w14:textFill>
            <w14:solidFill>
              <w14:schemeClr w14:val="tx1"/>
            </w14:solidFill>
          </w14:textFill>
        </w:rPr>
        <w:t>）相关法律法规以及监管部门有强制规定的，从其规定。如有新增事项，按国家最新规定估值。</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如基金管理人或基金托管人发现基金估值违反基金合同订明的估值方法、程序及相关法律法规的规定或者未能充分维护基金份额持有人利益时，应立即通知对方，共同查明原因，双方协商解决。</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（三）估值错误的处理</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基金管理人和基金托管人将采取必要、适当、合理的措施确保基金资产估值的准确性、及时性。当任一类基金份额的基金份额净值小数点后4位以内（含第4位）发生估值错误时，视为该类基金份额净值错误。</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1、基金份额净值估值错误处理的方法如下：</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（1）基金份额净值计算出现错误时，基金管理人应当立即予以纠正，通报基金托管人，并采取合理的措施防止损失进一步扩大。</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2）各类基金份额的基金份额净值计算错误偏差达到该类基金份额净值的0.25%时，基金管理人应当通报基金托管人并报中国证监会备案；错误偏差达到该类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（3）当基金份额净值计算差错给基金和基金份额持有人造成损失需要进行赔偿时，基金管理人和基金托管人根据实际情况界定双方承担的责任，经确认后按以下条款进行赔偿：</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1</w:t>
      </w:r>
      <w:r>
        <w:rPr>
          <w:rFonts w:hint="eastAsia" w:ascii="宋体" w:hAnsi="Calibri" w:cs="宋体"/>
          <w:color w:val="000000" w:themeColor="text1"/>
          <w:kern w:val="0"/>
          <w:szCs w:val="21"/>
          <w14:textFill>
            <w14:solidFill>
              <w14:schemeClr w14:val="tx1"/>
            </w14:solidFill>
          </w14:textFill>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w:t>
      </w:r>
      <w:r>
        <w:rPr>
          <w:rFonts w:hint="eastAsia"/>
        </w:rPr>
        <w:t>管理费和托管费的比例各自</w:t>
      </w:r>
      <w:r>
        <w:rPr>
          <w:rFonts w:hint="eastAsia" w:ascii="宋体" w:hAnsi="Calibri" w:cs="宋体"/>
          <w:color w:val="000000" w:themeColor="text1"/>
          <w:kern w:val="0"/>
          <w:szCs w:val="21"/>
          <w14:textFill>
            <w14:solidFill>
              <w14:schemeClr w14:val="tx1"/>
            </w14:solidFill>
          </w14:textFill>
        </w:rPr>
        <w:t>承担相应的责任。</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3</w:t>
      </w: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4</w:t>
      </w: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由于基金管理人提供的信息错误（包括但不限于基金申购或赎回金额等），进而导致基金份额净值计算错误而引起的基金份额持有人和基金财产的损失，由基金管理人负责赔付。</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4</w:t>
      </w:r>
      <w:r>
        <w:rPr>
          <w:rFonts w:hint="eastAsia" w:ascii="宋体" w:hAnsi="Calibri" w:cs="宋体"/>
          <w:color w:val="000000" w:themeColor="text1"/>
          <w:kern w:val="0"/>
          <w:szCs w:val="21"/>
          <w14:textFill>
            <w14:solidFill>
              <w14:schemeClr w14:val="tx1"/>
            </w14:solidFill>
          </w14:textFill>
        </w:rPr>
        <w:t>）前述内容如法律法规或监管机构另有规定的，从其规定处理。</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、特殊情况的处理</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（1）基金管理人或基金托管人按估值方法的第（1</w:t>
      </w:r>
      <w:r>
        <w:rPr>
          <w:rFonts w:ascii="宋体" w:hAnsi="Calibri" w:cs="宋体"/>
          <w:color w:val="000000" w:themeColor="text1"/>
          <w:kern w:val="0"/>
          <w:szCs w:val="21"/>
          <w14:textFill>
            <w14:solidFill>
              <w14:schemeClr w14:val="tx1"/>
            </w14:solidFill>
          </w14:textFill>
        </w:rPr>
        <w:t>5</w:t>
      </w:r>
      <w:r>
        <w:rPr>
          <w:rFonts w:hint="eastAsia" w:ascii="宋体" w:hAnsi="Calibri" w:cs="宋体"/>
          <w:color w:val="000000" w:themeColor="text1"/>
          <w:kern w:val="0"/>
          <w:szCs w:val="21"/>
          <w14:textFill>
            <w14:solidFill>
              <w14:schemeClr w14:val="tx1"/>
            </w14:solidFill>
          </w14:textFill>
        </w:rPr>
        <w:t>）项进行估值时，所造成的误差不作为基金资产估值错误处理。</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2）由于不可抗力原因，或由于证券/期货交易所、期货公司、登记结算公司、指数编制机构、存款银行发送的数据错误，或国家会计政策变更、市场规则变更等，基金管理人和基金托管人虽然已经采取必要、适当、合理的措施进行检查，但是未能发现该错误或即使发现错误但因前述原因无法及时更正的，由此造成的基金资产估值错误，基金管理人和基金托管人免除赔偿责任。但基金管理人和基金托管人应当积极采取必要的措施消除或减轻由此造成的影响。</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（四）暂停估值的情形</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1、基金投资所涉及的证券、期货交易市场遇法定节假日或因其他原因暂停营业时；</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2、因不可抗力致使基金管理人、基金托管人无法准确评估基金资产价值时；</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3、当特定资产占前一估值日基金资产净值50%以上的，经与基金托管人协商确认后，基金管理人应当暂停估值；</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4、基金所投资的目标ETF发生暂停估值、暂停公告基金份额净值的情形；</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5、法律法规、中国证监会规定和基金合同认定的其它情形。</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（五）基金会计制度</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按国家有关部门规定的会计制度执行。</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（六）基金账册的建立</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经对账发现相关各方的账目存在不符的，基金管理人和基金托管人必须及时查明原因并纠正，保证相关各方平行登录的账册记录完全相符。若当日核对不符，暂时无法查找到错账的原因而影响到基金净值信息的计算和公告的，以基金管理人的账册为准。</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（七）基金财务报表和定期报告的编制和复核</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1</w:t>
      </w:r>
      <w:r>
        <w:rPr>
          <w:rFonts w:hint="eastAsia" w:ascii="宋体" w:hAnsi="Calibri" w:cs="宋体"/>
          <w:color w:val="000000" w:themeColor="text1"/>
          <w:kern w:val="0"/>
          <w:szCs w:val="21"/>
          <w14:textFill>
            <w14:solidFill>
              <w14:schemeClr w14:val="tx1"/>
            </w14:solidFill>
          </w14:textFill>
        </w:rPr>
        <w:t>、财务报表的编制</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基金财务报表由基金管理人和基金托管人每月</w:t>
      </w:r>
      <w:r>
        <w:rPr>
          <w:rFonts w:hint="eastAsia"/>
          <w:color w:val="000000" w:themeColor="text1"/>
          <w:szCs w:val="21"/>
          <w14:textFill>
            <w14:solidFill>
              <w14:schemeClr w14:val="tx1"/>
            </w14:solidFill>
          </w14:textFill>
        </w:rPr>
        <w:t>分别独立编制。月度报表的编制，应于每月终了后</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个工作日内完成；《基金合同》生效后，基金招募说明书的信息发生重大变更的，</w:t>
      </w:r>
      <w:r>
        <w:rPr>
          <w:rFonts w:hint="eastAsia" w:ascii="宋体" w:hAnsi="Calibri" w:cs="宋体"/>
          <w:color w:val="000000" w:themeColor="text1"/>
          <w:kern w:val="0"/>
          <w:szCs w:val="21"/>
          <w14:textFill>
            <w14:solidFill>
              <w14:schemeClr w14:val="tx1"/>
            </w14:solidFill>
          </w14:textFill>
        </w:rPr>
        <w:t>基金管理人应当在三个工作日内，更新基金招募说明书并登载在规定网站上；基金招募说明书其他信息发生变更的，基金管理人至少每年更新一次。基金终止运作的，基金管理人不再更新基金招募说明书。季度报告应在季度结束之日起</w:t>
      </w:r>
      <w:r>
        <w:rPr>
          <w:rFonts w:ascii="宋体" w:hAnsi="Calibri" w:cs="宋体"/>
          <w:color w:val="000000" w:themeColor="text1"/>
          <w:kern w:val="0"/>
          <w:szCs w:val="21"/>
          <w14:textFill>
            <w14:solidFill>
              <w14:schemeClr w14:val="tx1"/>
            </w14:solidFill>
          </w14:textFill>
        </w:rPr>
        <w:t>15</w:t>
      </w:r>
      <w:r>
        <w:rPr>
          <w:rFonts w:hint="eastAsia" w:ascii="宋体" w:hAnsi="Calibri" w:cs="宋体"/>
          <w:color w:val="000000" w:themeColor="text1"/>
          <w:kern w:val="0"/>
          <w:szCs w:val="21"/>
          <w14:textFill>
            <w14:solidFill>
              <w14:schemeClr w14:val="tx1"/>
            </w14:solidFill>
          </w14:textFill>
        </w:rPr>
        <w:t>个工作日内予以公告；中期报告在会计年度半年终了后两个月内予以公告；年度报告在会计年度终了后三个月内予以公告。《基金合同》生效不足</w:t>
      </w: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个月的，基金管理人可以不编制当期季度报告、中期报告或者年度报告。</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、报表复核</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管理人在月度报表完成当日，将报表盖章后提供给基金托管人复核；基金托管人在收到后应在3日内进行复核，并将复核结果书面通知基金管理人。基金管理人在季度报告完成当日，将有关报告提供给基金托管人复核，基金托管人应在收到后7个工作日内完成复核，并将复核结果书面通知基金管理人。基金管理人在中期报告完成当日，将有关报告提供给基金托管人复核，基金托管人应在收到后30个工作日内完成复核，并将复核结果书面通知基金管理人。基金管理人在年度报告完成当日，将有关报告提供基金托管人复核，基金托管人应在收到后45个工作日内完成复核，并将复核结果书面通知基金管理人。基金管理人和基金托管人之间的上述文件往来均以传真的方式或双方商定的其他方式进行。</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基金托管人在复核过程中，发现双方的报表存在不符时，基金管理人和基金托管人应共同查明原因，进行调整，调整以国家有关规定为准。</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管理人应留足充分的时间，便于基金托管人复核相关报表及报告。如果基金管理人与基金托管人不能于应当发布公告之日之前就相关报表达成一致，基金管理人按照其编制的报表对外发布公告，基金托管人有权就相关情况报中国证监会备案。</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基金托管人在对财务会计报告、季度报告、中期报告或年度报告复核完毕后，需盖章确认或出具相应的复核确认书或进行电子确认，以备有权机构对相关文件审核时提示。</w:t>
      </w:r>
      <w:bookmarkStart w:id="18" w:name="_Toc48703912"/>
      <w:bookmarkStart w:id="19" w:name="_Toc523830000"/>
      <w:bookmarkStart w:id="20" w:name="_Toc22454461"/>
      <w:bookmarkStart w:id="21" w:name="_Toc466788859"/>
    </w:p>
    <w:bookmarkEnd w:id="18"/>
    <w:bookmarkEnd w:id="19"/>
    <w:bookmarkEnd w:id="20"/>
    <w:bookmarkEnd w:id="21"/>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（八）基金管理人应每季向基金托管人提供基金业绩比较基准的基础数据和编制结果。</w:t>
      </w:r>
    </w:p>
    <w:p>
      <w:pPr>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（九）实施侧袋机制期间的基金资产估值</w:t>
      </w:r>
    </w:p>
    <w:p>
      <w:pPr>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本基金实施侧袋机制的，应根据本部分的约定对主袋账户资产进行估值并披露主袋账户的基金资产净值和份额净值，暂停披露侧袋账户份额净值。</w:t>
      </w:r>
    </w:p>
    <w:p>
      <w:pPr>
        <w:pStyle w:val="2"/>
        <w:numPr>
          <w:ilvl w:val="0"/>
          <w:numId w:val="1"/>
        </w:numPr>
        <w:spacing w:before="120" w:after="120" w:line="360" w:lineRule="auto"/>
        <w:jc w:val="center"/>
        <w:rPr>
          <w:color w:val="000000" w:themeColor="text1"/>
          <w:sz w:val="24"/>
          <w:szCs w:val="24"/>
          <w14:textFill>
            <w14:solidFill>
              <w14:schemeClr w14:val="tx1"/>
            </w14:solidFill>
          </w14:textFill>
        </w:rPr>
      </w:pPr>
      <w:bookmarkStart w:id="22" w:name="_Toc170895819"/>
      <w:bookmarkStart w:id="23" w:name="_Toc394474004"/>
      <w:r>
        <w:rPr>
          <w:rFonts w:hint="eastAsia"/>
          <w:color w:val="000000" w:themeColor="text1"/>
          <w:sz w:val="24"/>
          <w:szCs w:val="24"/>
          <w14:textFill>
            <w14:solidFill>
              <w14:schemeClr w14:val="tx1"/>
            </w14:solidFill>
          </w14:textFill>
        </w:rPr>
        <w:t>基金收益分配</w:t>
      </w:r>
      <w:bookmarkEnd w:id="22"/>
      <w:bookmarkEnd w:id="23"/>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（一）基金收益分配原则</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1、在符合有关基金分红条件的前提下，基金管理人可以根据实际情况进行收益分配，具体分配方案以公告为准，若《基金合同》生效不满3个月可不进行收益分配；</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2、本基金收益分配方式分两种：现金分红与红利再投资，投资者可选择现金红利或将现金红利自动转为相应类别的基金份额进行再投资；若投资者不选择，本基金默认的收益分配方式是现金分红；</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3</w:t>
      </w:r>
      <w:r>
        <w:rPr>
          <w:rFonts w:hint="eastAsia" w:ascii="宋体" w:hAnsi="Calibri" w:cs="宋体"/>
          <w:color w:val="000000" w:themeColor="text1"/>
          <w:kern w:val="0"/>
          <w:szCs w:val="21"/>
          <w14:textFill>
            <w14:solidFill>
              <w14:schemeClr w14:val="tx1"/>
            </w14:solidFill>
          </w14:textFill>
        </w:rPr>
        <w:t>、A类基金份额和C类基金份额之间由于A类基金份额不收取而C类基金份额收取销售服务费将导致在可供分配利润上有所不同；本基金同一类别的每份基金份额享有同等分配权；</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4</w:t>
      </w:r>
      <w:r>
        <w:rPr>
          <w:rFonts w:hint="eastAsia" w:ascii="宋体" w:hAnsi="Calibri" w:cs="宋体"/>
          <w:color w:val="000000" w:themeColor="text1"/>
          <w:kern w:val="0"/>
          <w:szCs w:val="21"/>
          <w14:textFill>
            <w14:solidFill>
              <w14:schemeClr w14:val="tx1"/>
            </w14:solidFill>
          </w14:textFill>
        </w:rPr>
        <w:t>、法律法规或监管机构另有规定的，从其规定。</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在不影响基金份额持有人利益的情况下，基金管理人在履行适当程序后，可在不违反法律法规的前提下酌情调整以上基金收益分配原则。</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（二）收益分配方案</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基金收益分配方案中应载明截止收益分配基准日的可供分配利润、基金收益分配对象、分配时间、分配数额及比例、分配方式等内容。</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（三）收益分配方案的确定、公告与实施</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本基金收益分配方案由基金管理人拟定，并由基金托管人复核，依照《信息披露办法》的有关规定在规定媒介公告。</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（四）基金收益分配中发生的费用</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收益分配采用红利再投资方式免收再投资的费用。</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等有关事项遵循《业务规则》的相关规定。</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（五）实施侧袋机制期间的收益分配</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本基金实施侧袋机制的，侧袋账户不进行收益分配，详见招募说明书的规定。</w:t>
      </w:r>
    </w:p>
    <w:p>
      <w:pPr>
        <w:pStyle w:val="2"/>
        <w:numPr>
          <w:ilvl w:val="0"/>
          <w:numId w:val="1"/>
        </w:numPr>
        <w:spacing w:before="120" w:after="120" w:line="360" w:lineRule="auto"/>
        <w:jc w:val="center"/>
        <w:rPr>
          <w:color w:val="000000" w:themeColor="text1"/>
          <w:sz w:val="24"/>
          <w:szCs w:val="24"/>
          <w14:textFill>
            <w14:solidFill>
              <w14:schemeClr w14:val="tx1"/>
            </w14:solidFill>
          </w14:textFill>
        </w:rPr>
      </w:pPr>
      <w:bookmarkStart w:id="24" w:name="_Toc394474005"/>
      <w:bookmarkStart w:id="25" w:name="_Toc170895820"/>
      <w:r>
        <w:rPr>
          <w:rFonts w:hint="eastAsia"/>
          <w:color w:val="000000" w:themeColor="text1"/>
          <w:sz w:val="24"/>
          <w:szCs w:val="24"/>
          <w14:textFill>
            <w14:solidFill>
              <w14:schemeClr w14:val="tx1"/>
            </w14:solidFill>
          </w14:textFill>
        </w:rPr>
        <w:t>基金信息披露</w:t>
      </w:r>
      <w:bookmarkEnd w:id="24"/>
      <w:bookmarkEnd w:id="25"/>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（一）保密义务</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1</w:t>
      </w:r>
      <w:r>
        <w:rPr>
          <w:rFonts w:hint="eastAsia" w:ascii="宋体" w:hAnsi="Calibri" w:cs="宋体"/>
          <w:color w:val="000000" w:themeColor="text1"/>
          <w:kern w:val="0"/>
          <w:szCs w:val="21"/>
          <w14:textFill>
            <w14:solidFill>
              <w14:schemeClr w14:val="tx1"/>
            </w14:solidFill>
          </w14:textFill>
        </w:rPr>
        <w:t>、除按照《基金法》、《基金合同》、《信息披露办法》及其他有关规定外，基金管理人和基金托管人对基金运作中产生的信息以及从对方获得的业务信息应予保密。基金管理人与基金托管人对本基金的任何信息，不得在其公开披露之前，先行对双方和基金份额持有人大会以外的任何机构、组织和个人泄露。法律法规另有规定的除外。</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基金管理人和基金托管人除为履行法律法规、《基金合同》及本协议规定的义务所必要之外，不得为其他目的使用、利用其所知悉的基金的保密信息，并且应当将保密信息限制在为履行前述义务而需要了解该保密信息的职员范围之内。但是，如下情况不应视为基金管理人或基金托管人违反保密义务：</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1</w:t>
      </w:r>
      <w:r>
        <w:rPr>
          <w:rFonts w:hint="eastAsia" w:ascii="宋体" w:hAnsi="Calibri" w:cs="宋体"/>
          <w:color w:val="000000" w:themeColor="text1"/>
          <w:kern w:val="0"/>
          <w:szCs w:val="21"/>
          <w14:textFill>
            <w14:solidFill>
              <w14:schemeClr w14:val="tx1"/>
            </w14:solidFill>
          </w14:textFill>
        </w:rPr>
        <w:t>）非因基金管理人和基金托管人的原因导致保密信息被披露、泄露或公开；</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）基金管理人和基金托管人为遵守和服从法院判决、仲裁裁决或中国证监会等监管机构的命令、决定所做出的信息披露或公开；</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3</w:t>
      </w:r>
      <w:r>
        <w:rPr>
          <w:rFonts w:hint="eastAsia" w:ascii="宋体" w:hAnsi="Calibri" w:cs="宋体"/>
          <w:color w:val="000000" w:themeColor="text1"/>
          <w:kern w:val="0"/>
          <w:szCs w:val="21"/>
          <w14:textFill>
            <w14:solidFill>
              <w14:schemeClr w14:val="tx1"/>
            </w14:solidFill>
          </w14:textFill>
        </w:rPr>
        <w:t>）法律法规或有权机构要求披露的；</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4</w:t>
      </w:r>
      <w:r>
        <w:rPr>
          <w:rFonts w:hint="eastAsia" w:ascii="宋体" w:hAnsi="Calibri" w:cs="宋体"/>
          <w:color w:val="000000" w:themeColor="text1"/>
          <w:kern w:val="0"/>
          <w:szCs w:val="21"/>
          <w14:textFill>
            <w14:solidFill>
              <w14:schemeClr w14:val="tx1"/>
            </w14:solidFill>
          </w14:textFill>
        </w:rPr>
        <w:t>）因不可抗力发生信息披露或公开的。</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（二）信息披露的内容</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的信息披露内容主要包括基金招募说明书、《基金合同》、基金托管协议、基金产品资料概要、基金份额发售公告、《基金合同》生效公告、基金净值信息、基金份额申购、赎回价格、基金定期报告，包括年度报告、中期报告和季度报告、临时报告、澄清公告、基金份额持有人大会决议、清算报告、投资股指期货相关公告、投资国债期货相关公告、投资股票期权的相关公告、投资资产支持证券的相关公告、投资非公开发行股票的相关公告、参与融资和转融通证券出借业务的信息披露及实施侧袋机制期间的信息披露等中国证监会规定的其他信息。基金年度报告需经符合《中华人民共和国证券法》规定的会计师事务所审计后，方可披露。</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（三）基金管理人和基金托管人在信息披露中的职责和信息披露程序</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1</w:t>
      </w:r>
      <w:r>
        <w:rPr>
          <w:rFonts w:hint="eastAsia" w:ascii="宋体" w:hAnsi="Calibri" w:cs="宋体"/>
          <w:color w:val="000000" w:themeColor="text1"/>
          <w:kern w:val="0"/>
          <w:szCs w:val="21"/>
          <w14:textFill>
            <w14:solidFill>
              <w14:schemeClr w14:val="tx1"/>
            </w14:solidFill>
          </w14:textFill>
        </w:rPr>
        <w:t>、职责</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托管人和基金管理人在信息披露过程中应以保护基金份额持有人利益为宗旨，诚实信用，严守秘密。基金管理人和基金托管人应根据相关法律法规、《基金合同》的规定各自承担相应的信息披露职责。基金管理人负责办理与基金有关的信息披露事宜，基金托管人应当按照相关法律法规和《基金合同》的约定，对于应由基金托管人复核的事项进行复核，基金托管人复核无误后，由基金管理人予以公布。</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基金管理人和基金托管人应积极配合、互相监督，保证按照法定的方式和时限履行信息披露义务。</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基金管理人应当在中国证监会规定的时间内，将应予披露的基金信息通过规定媒介披露。根据法律法规应由基金托管人公开披露的信息，基金托管人将通过规定媒介公开披露。</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当出现下述情况时，基金管理人和基金托管人可暂停或延迟披露基金相关信息：</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（1）不可抗力；</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（2）基金投资所涉及的证券、期货交易市场遇法定节假日或因其他原因暂停营业时；</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（3）基金合同约定的暂停估值的情形；</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（4）法律法规、基金合同或中国证监会规定的情况。</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、程序</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托管人应当按照相关法律法规、中国证监会的规定和《基金合同》的约定，对基金管理人编制的基金资产净值、各类基金份额净值、各类基金份额申购赎回价格、基金定期报告、更新的招募说明书、基金产品资料概要、基金清算报告等公开披露的相关基金信息进行复核、审查，并向基金管理人进行书面或电子确认。</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基金年度报告中的财务会计报告必须经符合《中华人民共和国证券法》规定的会计师事务所审计。</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3</w:t>
      </w:r>
      <w:r>
        <w:rPr>
          <w:rFonts w:hint="eastAsia" w:ascii="宋体" w:hAnsi="Calibri" w:cs="宋体"/>
          <w:color w:val="000000" w:themeColor="text1"/>
          <w:kern w:val="0"/>
          <w:szCs w:val="21"/>
          <w14:textFill>
            <w14:solidFill>
              <w14:schemeClr w14:val="tx1"/>
            </w14:solidFill>
          </w14:textFill>
        </w:rPr>
        <w:t>、信息文本的存放与备查</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依法必须披露的信息发布后，基金管理人、基金托管人应当按照相关法律法规规定将信息置备于公司住所，供社会公众查阅、复制。基金管理人、基金托管人应为文本存放、基金份额持有人查询有关文件提供必要的场所和其他便利。</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基金管理人和基金托管人应保证文本的内容与所公告的内容完全一致。</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（四）基金托管人报告</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基金托管人应按《基金法》、《信息披露办法》和其他有关法律法规的规定于上半年度结束后两个月内、每年结束之日起三个月内在基金中期报告及年度报告中分别出具托管人报告。</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（五）实施侧袋机制期间的信息披露</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本基金实施侧袋机制的，相关信息披露义务人应当根据法律法规、基金合同和招募说明书的规定进行信息披露，详见招募说明书的规定。</w:t>
      </w:r>
    </w:p>
    <w:p>
      <w:pPr>
        <w:pStyle w:val="2"/>
        <w:numPr>
          <w:ilvl w:val="0"/>
          <w:numId w:val="1"/>
        </w:numPr>
        <w:spacing w:before="120" w:after="120" w:line="360" w:lineRule="auto"/>
        <w:jc w:val="center"/>
        <w:rPr>
          <w:b w:val="0"/>
          <w:color w:val="000000" w:themeColor="text1"/>
          <w:sz w:val="24"/>
          <w:szCs w:val="24"/>
          <w14:textFill>
            <w14:solidFill>
              <w14:schemeClr w14:val="tx1"/>
            </w14:solidFill>
          </w14:textFill>
        </w:rPr>
      </w:pPr>
      <w:bookmarkStart w:id="26" w:name="_Toc394474006"/>
      <w:bookmarkStart w:id="27" w:name="_Toc170895821"/>
      <w:r>
        <w:rPr>
          <w:rFonts w:hint="eastAsia"/>
          <w:color w:val="000000" w:themeColor="text1"/>
          <w:sz w:val="24"/>
          <w:szCs w:val="24"/>
          <w14:textFill>
            <w14:solidFill>
              <w14:schemeClr w14:val="tx1"/>
            </w14:solidFill>
          </w14:textFill>
        </w:rPr>
        <w:t>基金费用</w:t>
      </w:r>
      <w:bookmarkEnd w:id="26"/>
      <w:bookmarkEnd w:id="27"/>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（一）基金管理费的计提方法、计提标准和支付方式</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基金管理人对本基金投资组合中投资于目标ETF部分的基金资产净值不计提基金管理费。本基金的管理费按前一日基金资产净值扣除所持有目标ETF基金份额部分基金资产后的余额（若为负数，则取0）的</w:t>
      </w:r>
      <w:r>
        <w:rPr>
          <w:rFonts w:ascii="宋体" w:hAnsi="Calibri" w:cs="宋体"/>
          <w:color w:val="000000" w:themeColor="text1"/>
          <w:kern w:val="0"/>
          <w:szCs w:val="21"/>
          <w14:textFill>
            <w14:solidFill>
              <w14:schemeClr w14:val="tx1"/>
            </w14:solidFill>
          </w14:textFill>
        </w:rPr>
        <w:t>0.15%</w:t>
      </w:r>
      <w:r>
        <w:rPr>
          <w:rFonts w:hint="eastAsia" w:ascii="宋体" w:hAnsi="Calibri" w:cs="宋体"/>
          <w:color w:val="000000" w:themeColor="text1"/>
          <w:kern w:val="0"/>
          <w:szCs w:val="21"/>
          <w14:textFill>
            <w14:solidFill>
              <w14:schemeClr w14:val="tx1"/>
            </w14:solidFill>
          </w14:textFill>
        </w:rPr>
        <w:t>年费率计提。管理费的计算方法如下：</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H＝E×</w:t>
      </w:r>
      <w:r>
        <w:rPr>
          <w:rFonts w:ascii="宋体" w:hAnsi="Calibri" w:cs="宋体"/>
          <w:color w:val="000000" w:themeColor="text1"/>
          <w:kern w:val="0"/>
          <w:szCs w:val="21"/>
          <w14:textFill>
            <w14:solidFill>
              <w14:schemeClr w14:val="tx1"/>
            </w14:solidFill>
          </w14:textFill>
        </w:rPr>
        <w:t>0.15%</w:t>
      </w:r>
      <w:r>
        <w:rPr>
          <w:rFonts w:hint="eastAsia" w:ascii="宋体" w:hAnsi="Calibri" w:cs="宋体"/>
          <w:color w:val="000000" w:themeColor="text1"/>
          <w:kern w:val="0"/>
          <w:szCs w:val="21"/>
          <w14:textFill>
            <w14:solidFill>
              <w14:schemeClr w14:val="tx1"/>
            </w14:solidFill>
          </w14:textFill>
        </w:rPr>
        <w:t>÷当年天数</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H为每日应计提的基金管理费</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E为前一日基金资产净值扣除所持有目标ETF基金份额部分基金资产后的余额（若为负数，则取0）</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基金管理费每日计提，逐日累计至每月月末，按月支付，经基金管理人与基金托管人核对一致后，由基金托管人于次月首日起</w:t>
      </w:r>
      <w:r>
        <w:rPr>
          <w:rFonts w:ascii="宋体" w:hAnsi="Calibri" w:cs="宋体"/>
          <w:color w:val="000000" w:themeColor="text1"/>
          <w:kern w:val="0"/>
          <w:szCs w:val="21"/>
          <w14:textFill>
            <w14:solidFill>
              <w14:schemeClr w14:val="tx1"/>
            </w14:solidFill>
          </w14:textFill>
        </w:rPr>
        <w:t>5</w:t>
      </w:r>
      <w:r>
        <w:rPr>
          <w:rFonts w:hint="eastAsia" w:ascii="宋体" w:hAnsi="Calibri" w:cs="宋体"/>
          <w:color w:val="000000" w:themeColor="text1"/>
          <w:kern w:val="0"/>
          <w:szCs w:val="21"/>
          <w14:textFill>
            <w14:solidFill>
              <w14:schemeClr w14:val="tx1"/>
            </w14:solidFill>
          </w14:textFill>
        </w:rPr>
        <w:t>个工作日内按照指定的账户路径进行资金支付，基金管理人无需再出具资金划拨指令。若遇法定节假日、公休日等，支付日期顺延。费用自动扣划后，管理人应进行核对，如发现数据不符，及时联系托管人协商解决。</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（二）基金托管费的计提方法、计提标准和支付方式</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基金托管人对本基金投资组合中投资于目标ETF部分的基金资产净值不计提基金托管费。本基金的托管费按前一日基金资产净值扣除所持有目标ETF基金份额部分基金资产后的余额（若为负数，则取0）的0.</w:t>
      </w:r>
      <w:r>
        <w:rPr>
          <w:rFonts w:ascii="宋体" w:hAnsi="Calibri" w:cs="宋体"/>
          <w:color w:val="000000" w:themeColor="text1"/>
          <w:kern w:val="0"/>
          <w:szCs w:val="21"/>
          <w14:textFill>
            <w14:solidFill>
              <w14:schemeClr w14:val="tx1"/>
            </w14:solidFill>
          </w14:textFill>
        </w:rPr>
        <w:t>05</w:t>
      </w:r>
      <w:r>
        <w:rPr>
          <w:rFonts w:hint="eastAsia" w:ascii="宋体" w:hAnsi="Calibri" w:cs="宋体"/>
          <w:color w:val="000000" w:themeColor="text1"/>
          <w:kern w:val="0"/>
          <w:szCs w:val="21"/>
          <w14:textFill>
            <w14:solidFill>
              <w14:schemeClr w14:val="tx1"/>
            </w14:solidFill>
          </w14:textFill>
        </w:rPr>
        <w:t>%的年费率计提。托管费的计算方法如下：</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H＝E×0.</w:t>
      </w:r>
      <w:r>
        <w:rPr>
          <w:rFonts w:ascii="宋体" w:hAnsi="Calibri" w:cs="宋体"/>
          <w:color w:val="000000" w:themeColor="text1"/>
          <w:kern w:val="0"/>
          <w:szCs w:val="21"/>
          <w14:textFill>
            <w14:solidFill>
              <w14:schemeClr w14:val="tx1"/>
            </w14:solidFill>
          </w14:textFill>
        </w:rPr>
        <w:t>05</w:t>
      </w:r>
      <w:r>
        <w:rPr>
          <w:rFonts w:hint="eastAsia" w:ascii="宋体" w:hAnsi="Calibri" w:cs="宋体"/>
          <w:color w:val="000000" w:themeColor="text1"/>
          <w:kern w:val="0"/>
          <w:szCs w:val="21"/>
          <w14:textFill>
            <w14:solidFill>
              <w14:schemeClr w14:val="tx1"/>
            </w14:solidFill>
          </w14:textFill>
        </w:rPr>
        <w:t>%÷当年天数</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H为每日应计提的基金托管费</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E为前一日的基金资产净值扣除所持有目标ETF基金份额部分基金资产后的余额（若为负数，则取0）</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基金托管费每日计提，逐日累计至每月月末，按月支付，经基金管理人与基金托管人核对一致后，由基金托管人于次月首日起</w:t>
      </w:r>
      <w:r>
        <w:rPr>
          <w:rFonts w:ascii="宋体" w:hAnsi="Calibri" w:cs="宋体"/>
          <w:color w:val="000000" w:themeColor="text1"/>
          <w:kern w:val="0"/>
          <w:szCs w:val="21"/>
          <w14:textFill>
            <w14:solidFill>
              <w14:schemeClr w14:val="tx1"/>
            </w14:solidFill>
          </w14:textFill>
        </w:rPr>
        <w:t>5</w:t>
      </w:r>
      <w:r>
        <w:rPr>
          <w:rFonts w:hint="eastAsia" w:ascii="宋体" w:hAnsi="Calibri" w:cs="宋体"/>
          <w:color w:val="000000" w:themeColor="text1"/>
          <w:kern w:val="0"/>
          <w:szCs w:val="21"/>
          <w14:textFill>
            <w14:solidFill>
              <w14:schemeClr w14:val="tx1"/>
            </w14:solidFill>
          </w14:textFill>
        </w:rPr>
        <w:t>个工作日内按照指定的账户路径进行资金支付，基金管理人无需再出具资金划拨指令。若遇法定节假日、公休日等，支付日期顺延。费用自动扣划后，管理人应进行核对，如发现数据不符，及时联系托管人协商解决。</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（三）</w:t>
      </w:r>
      <w:r>
        <w:rPr>
          <w:rFonts w:ascii="宋体" w:hAnsi="Calibri" w:cs="宋体"/>
          <w:color w:val="000000" w:themeColor="text1"/>
          <w:kern w:val="0"/>
          <w:szCs w:val="21"/>
          <w14:textFill>
            <w14:solidFill>
              <w14:schemeClr w14:val="tx1"/>
            </w14:solidFill>
          </w14:textFill>
        </w:rPr>
        <w:t>C</w:t>
      </w:r>
      <w:r>
        <w:rPr>
          <w:rFonts w:hint="eastAsia" w:ascii="宋体" w:hAnsi="Calibri" w:cs="宋体"/>
          <w:color w:val="000000" w:themeColor="text1"/>
          <w:kern w:val="0"/>
          <w:szCs w:val="21"/>
          <w14:textFill>
            <w14:solidFill>
              <w14:schemeClr w14:val="tx1"/>
            </w14:solidFill>
          </w14:textFill>
        </w:rPr>
        <w:t>类基金份额的销售服务费的计提方法、计提标准和支付方式</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本基金A类基金份额不收取销售服务费，C类基金份额的销售服务费年费率为0.</w:t>
      </w: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0%。销售服务费的计算方法如下：</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H＝E×</w:t>
      </w:r>
      <w:r>
        <w:rPr>
          <w:rFonts w:ascii="宋体" w:hAnsi="Calibri" w:cs="宋体"/>
          <w:color w:val="000000" w:themeColor="text1"/>
          <w:kern w:val="0"/>
          <w:szCs w:val="21"/>
          <w14:textFill>
            <w14:solidFill>
              <w14:schemeClr w14:val="tx1"/>
            </w14:solidFill>
          </w14:textFill>
        </w:rPr>
        <w:t>0.20%</w:t>
      </w:r>
      <w:r>
        <w:rPr>
          <w:rFonts w:hint="eastAsia" w:ascii="宋体" w:hAnsi="Calibri" w:cs="宋体"/>
          <w:color w:val="000000" w:themeColor="text1"/>
          <w:kern w:val="0"/>
          <w:szCs w:val="21"/>
          <w14:textFill>
            <w14:solidFill>
              <w14:schemeClr w14:val="tx1"/>
            </w14:solidFill>
          </w14:textFill>
        </w:rPr>
        <w:t>÷当年天数</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H为C类基金份额每日应计提的销售服务费</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E为前一日C类基金份额的基金资产净值</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销售服务费每日计提，逐日累计至每月月末，按月支付，经基金管理人与基金托管人核对一致后，由基金托管人于次月首日起</w:t>
      </w:r>
      <w:r>
        <w:rPr>
          <w:rFonts w:ascii="宋体" w:hAnsi="Calibri" w:cs="宋体"/>
          <w:color w:val="000000" w:themeColor="text1"/>
          <w:kern w:val="0"/>
          <w:szCs w:val="21"/>
          <w14:textFill>
            <w14:solidFill>
              <w14:schemeClr w14:val="tx1"/>
            </w14:solidFill>
          </w14:textFill>
        </w:rPr>
        <w:t>5</w:t>
      </w:r>
      <w:r>
        <w:rPr>
          <w:rFonts w:hint="eastAsia" w:ascii="宋体" w:hAnsi="Calibri" w:cs="宋体"/>
          <w:color w:val="000000" w:themeColor="text1"/>
          <w:kern w:val="0"/>
          <w:szCs w:val="21"/>
          <w14:textFill>
            <w14:solidFill>
              <w14:schemeClr w14:val="tx1"/>
            </w14:solidFill>
          </w14:textFill>
        </w:rPr>
        <w:t>个工作日内按照指定的账户路径进行资金支付，基金管理人无需再出具资金划拨指令。若遇法定节假日、公休日等，支付日期顺延。费用自动扣划后，管理人应进行核对，如发现数据不符，及时联系托管人协商解决。</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在首期支付基金管理费、销售服务费前，基金管理人应向托管人出具正式函件指定基金管理费、销售服务费的收款账户。基金管理人如需要变更此账户，应提前</w:t>
      </w:r>
      <w:r>
        <w:rPr>
          <w:rFonts w:ascii="宋体" w:hAnsi="Calibri" w:cs="宋体"/>
          <w:color w:val="000000" w:themeColor="text1"/>
          <w:kern w:val="0"/>
          <w:szCs w:val="21"/>
          <w14:textFill>
            <w14:solidFill>
              <w14:schemeClr w14:val="tx1"/>
            </w14:solidFill>
          </w14:textFill>
        </w:rPr>
        <w:t>5个工作日向托管人出具书面的收款账户变更通知。</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四）基金合同生效后与基金相关的信息披露费用、基金合同生效后与基金相关的会计师费、律师费、诉讼费和仲裁费、基金份额持有人大会费用、基金的证券/期货、股票期权交易费用、基金的银行汇划费用、基金相关账户开户费用及维护费用、基金投资目标ETF的相关费用（包括但不限于目标ETF的交易费用、申赎费用等）等根据有关法规、基金合同及相应协议的规定，由基金托管人按基金管理人的划款指令并根据费用实际支出金额支付，列入当期基金费用。</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五</w:t>
      </w:r>
      <w:r>
        <w:rPr>
          <w:rFonts w:hint="eastAsia" w:ascii="宋体" w:hAnsi="Calibri" w:cs="宋体"/>
          <w:color w:val="000000" w:themeColor="text1"/>
          <w:kern w:val="0"/>
          <w:szCs w:val="21"/>
          <w14:textFill>
            <w14:solidFill>
              <w14:schemeClr w14:val="tx1"/>
            </w14:solidFill>
          </w14:textFill>
        </w:rPr>
        <w:t>）不列入基金费用的项目</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下列费用不列入基金费用：</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1、基金管理人和基金托管人因未履行或未完全履行义务导致的费用支出或基金财产的损失；</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2、基金管理人和基金托管人处理与基金运作无关的事项发生的费用；</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3、基金的标的指数许可使用费，本基金的标的指数许可使用费由基金管理人承担；</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4</w:t>
      </w:r>
      <w:r>
        <w:rPr>
          <w:rFonts w:hint="eastAsia" w:ascii="宋体" w:hAnsi="Calibri" w:cs="宋体"/>
          <w:color w:val="000000" w:themeColor="text1"/>
          <w:kern w:val="0"/>
          <w:szCs w:val="21"/>
          <w14:textFill>
            <w14:solidFill>
              <w14:schemeClr w14:val="tx1"/>
            </w14:solidFill>
          </w14:textFill>
        </w:rPr>
        <w:t>、《基金合同》生效前的相关费用；</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5</w:t>
      </w:r>
      <w:r>
        <w:rPr>
          <w:rFonts w:hint="eastAsia" w:ascii="宋体" w:hAnsi="Calibri" w:cs="宋体"/>
          <w:color w:val="000000" w:themeColor="text1"/>
          <w:kern w:val="0"/>
          <w:szCs w:val="21"/>
          <w14:textFill>
            <w14:solidFill>
              <w14:schemeClr w14:val="tx1"/>
            </w14:solidFill>
          </w14:textFill>
        </w:rPr>
        <w:t>、其他根据相关法律法规及中国证监会的有关规定不得列入基金费用的项目。</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（六）基金管理费、基金托管费、C类基金份额的销售服务费的复核程序</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基金托管人对不符合《基金法》、《运作办法》等有关规定、《基金合同》以及本协议的其他费用有权拒绝执行。</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基金托管人对基金管理人计提的基金管理费、基金托管费、C类基金份额的销售服务费等，根据本托管协议和《基金合同》的有关规定进行复核。</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七</w:t>
      </w:r>
      <w:r>
        <w:rPr>
          <w:rFonts w:hint="eastAsia" w:ascii="宋体" w:hAnsi="Calibri" w:cs="宋体"/>
          <w:color w:val="000000" w:themeColor="text1"/>
          <w:kern w:val="0"/>
          <w:szCs w:val="21"/>
          <w14:textFill>
            <w14:solidFill>
              <w14:schemeClr w14:val="tx1"/>
            </w14:solidFill>
          </w14:textFill>
        </w:rPr>
        <w:t>）如果基金托管人发现基金管理人违反有关法律法规的有关规定和《基金合同》、本协议的约定，从基金财产中列支费用，有权要求基金管理人做出书面解释，如果基金托管人认为基金管理人无正当或合理的理由，可以拒绝支付，但应及时通知基金管理人。</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bookmarkStart w:id="28" w:name="_Toc394474007"/>
      <w:r>
        <w:rPr>
          <w:rFonts w:hint="eastAsia" w:ascii="宋体" w:hAnsi="Calibri" w:cs="宋体"/>
          <w:color w:val="000000" w:themeColor="text1"/>
          <w:kern w:val="0"/>
          <w:szCs w:val="21"/>
          <w14:textFill>
            <w14:solidFill>
              <w14:schemeClr w14:val="tx1"/>
            </w14:solidFill>
          </w14:textFill>
        </w:rPr>
        <w:t>（八）实施侧袋机制期间的基金费用</w:t>
      </w:r>
    </w:p>
    <w:p>
      <w:pPr>
        <w:autoSpaceDE w:val="0"/>
        <w:autoSpaceDN w:val="0"/>
        <w:adjustRightInd w:val="0"/>
        <w:spacing w:line="360" w:lineRule="auto"/>
        <w:ind w:firstLine="420" w:firstLineChars="200"/>
        <w:rPr>
          <w:rFonts w:ascii="宋体" w:hAnsi="Calibri" w:cs="宋体"/>
          <w:b/>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本基金实施侧袋机制的，与侧袋账户有关的费用可以从侧袋账户中列支，但应待侧袋账户资产变现后方可列支，有关费用可酌情收取或减免，但不得收取管理费，详见招募说明书的规定。</w:t>
      </w:r>
    </w:p>
    <w:p>
      <w:pPr>
        <w:pStyle w:val="2"/>
        <w:numPr>
          <w:ilvl w:val="0"/>
          <w:numId w:val="1"/>
        </w:numPr>
        <w:spacing w:before="120" w:after="120" w:line="360" w:lineRule="auto"/>
        <w:jc w:val="center"/>
        <w:rPr>
          <w:b w:val="0"/>
          <w:color w:val="000000" w:themeColor="text1"/>
          <w:sz w:val="24"/>
          <w:szCs w:val="24"/>
          <w14:textFill>
            <w14:solidFill>
              <w14:schemeClr w14:val="tx1"/>
            </w14:solidFill>
          </w14:textFill>
        </w:rPr>
      </w:pPr>
      <w:bookmarkStart w:id="29" w:name="_Toc170895822"/>
      <w:r>
        <w:rPr>
          <w:rFonts w:hint="eastAsia"/>
          <w:color w:val="000000" w:themeColor="text1"/>
          <w:sz w:val="24"/>
          <w:szCs w:val="24"/>
          <w14:textFill>
            <w14:solidFill>
              <w14:schemeClr w14:val="tx1"/>
            </w14:solidFill>
          </w14:textFill>
        </w:rPr>
        <w:t>基金份额持有人名册的保管</w:t>
      </w:r>
      <w:bookmarkEnd w:id="28"/>
      <w:bookmarkEnd w:id="29"/>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（一）基金份额持有人名册的保管</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份额持有人名册至少应包括基金份额持有人的名称和持有的基金份额。基金份额持有人名册由基金的基金登记机构根据基金管理人的指令编制和保管，基金管理人和基金托管人应按照目前相关规则分别保管基金份额持有人名册。保管方式可以采用电子或文档的形式。基金登记机构的保管期限不低于法律法规规定的最低期限。</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在基金托管人要求或编制中期报告和年报前，基金管理人应将有关资料送交基金托管人，不得无故拒绝或延误提供，并保证其真实性、准确性和完整性。基金托管人不得将所保管的基金份额持有人名册用于基金托管业务以外的其他用途，并应遵守保密义务。</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若基金管理人或基金托管人由于自身原因无法妥善保管基金份额持有人名册，应按有关法规规定各自承担相应的责任。</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（二）基金份额持有人名册的提交</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基金管理人应当及时向基金托管人提交下列日期的基金份额持有人名册：《基金合同》生效日、《基金合同》终止日、基金份额持有人大会权益登记日、每年</w:t>
      </w:r>
      <w:r>
        <w:rPr>
          <w:rFonts w:ascii="宋体" w:hAnsi="Calibri" w:cs="宋体"/>
          <w:color w:val="000000" w:themeColor="text1"/>
          <w:kern w:val="0"/>
          <w:szCs w:val="21"/>
          <w14:textFill>
            <w14:solidFill>
              <w14:schemeClr w14:val="tx1"/>
            </w14:solidFill>
          </w14:textFill>
        </w:rPr>
        <w:t>6</w:t>
      </w:r>
      <w:r>
        <w:rPr>
          <w:rFonts w:hint="eastAsia" w:ascii="宋体" w:hAnsi="Calibri" w:cs="宋体"/>
          <w:color w:val="000000" w:themeColor="text1"/>
          <w:kern w:val="0"/>
          <w:szCs w:val="21"/>
          <w14:textFill>
            <w14:solidFill>
              <w14:schemeClr w14:val="tx1"/>
            </w14:solidFill>
          </w14:textFill>
        </w:rPr>
        <w:t>月</w:t>
      </w:r>
      <w:r>
        <w:rPr>
          <w:rFonts w:ascii="宋体" w:hAnsi="Calibri" w:cs="宋体"/>
          <w:color w:val="000000" w:themeColor="text1"/>
          <w:kern w:val="0"/>
          <w:szCs w:val="21"/>
          <w14:textFill>
            <w14:solidFill>
              <w14:schemeClr w14:val="tx1"/>
            </w14:solidFill>
          </w14:textFill>
        </w:rPr>
        <w:t>30</w:t>
      </w:r>
      <w:r>
        <w:rPr>
          <w:rFonts w:hint="eastAsia" w:ascii="宋体" w:hAnsi="Calibri" w:cs="宋体"/>
          <w:color w:val="000000" w:themeColor="text1"/>
          <w:kern w:val="0"/>
          <w:szCs w:val="21"/>
          <w14:textFill>
            <w14:solidFill>
              <w14:schemeClr w14:val="tx1"/>
            </w14:solidFill>
          </w14:textFill>
        </w:rPr>
        <w:t>日、每年</w:t>
      </w:r>
      <w:r>
        <w:rPr>
          <w:rFonts w:ascii="宋体" w:hAnsi="Calibri" w:cs="宋体"/>
          <w:color w:val="000000" w:themeColor="text1"/>
          <w:kern w:val="0"/>
          <w:szCs w:val="21"/>
          <w14:textFill>
            <w14:solidFill>
              <w14:schemeClr w14:val="tx1"/>
            </w14:solidFill>
          </w14:textFill>
        </w:rPr>
        <w:t>12</w:t>
      </w:r>
      <w:r>
        <w:rPr>
          <w:rFonts w:hint="eastAsia" w:ascii="宋体" w:hAnsi="Calibri" w:cs="宋体"/>
          <w:color w:val="000000" w:themeColor="text1"/>
          <w:kern w:val="0"/>
          <w:szCs w:val="21"/>
          <w14:textFill>
            <w14:solidFill>
              <w14:schemeClr w14:val="tx1"/>
            </w14:solidFill>
          </w14:textFill>
        </w:rPr>
        <w:t>月</w:t>
      </w:r>
      <w:r>
        <w:rPr>
          <w:rFonts w:ascii="宋体" w:hAnsi="Calibri" w:cs="宋体"/>
          <w:color w:val="000000" w:themeColor="text1"/>
          <w:kern w:val="0"/>
          <w:szCs w:val="21"/>
          <w14:textFill>
            <w14:solidFill>
              <w14:schemeClr w14:val="tx1"/>
            </w14:solidFill>
          </w14:textFill>
        </w:rPr>
        <w:t>31</w:t>
      </w:r>
      <w:r>
        <w:rPr>
          <w:rFonts w:hint="eastAsia" w:ascii="宋体" w:hAnsi="Calibri" w:cs="宋体"/>
          <w:color w:val="000000" w:themeColor="text1"/>
          <w:kern w:val="0"/>
          <w:szCs w:val="21"/>
          <w14:textFill>
            <w14:solidFill>
              <w14:schemeClr w14:val="tx1"/>
            </w14:solidFill>
          </w14:textFill>
        </w:rPr>
        <w:t>日的基金份额持有人名册。基金份额持有人名册的内容必须包括基金份额持有人的名称和持有的基金份额。其中每年</w:t>
      </w:r>
      <w:r>
        <w:rPr>
          <w:rFonts w:ascii="宋体" w:hAnsi="Calibri" w:cs="宋体"/>
          <w:color w:val="000000" w:themeColor="text1"/>
          <w:kern w:val="0"/>
          <w:szCs w:val="21"/>
          <w14:textFill>
            <w14:solidFill>
              <w14:schemeClr w14:val="tx1"/>
            </w14:solidFill>
          </w14:textFill>
        </w:rPr>
        <w:t>12</w:t>
      </w:r>
      <w:r>
        <w:rPr>
          <w:rFonts w:hint="eastAsia" w:ascii="宋体" w:hAnsi="Calibri" w:cs="宋体"/>
          <w:color w:val="000000" w:themeColor="text1"/>
          <w:kern w:val="0"/>
          <w:szCs w:val="21"/>
          <w14:textFill>
            <w14:solidFill>
              <w14:schemeClr w14:val="tx1"/>
            </w14:solidFill>
          </w14:textFill>
        </w:rPr>
        <w:t>月</w:t>
      </w:r>
      <w:r>
        <w:rPr>
          <w:rFonts w:ascii="宋体" w:hAnsi="Calibri" w:cs="宋体"/>
          <w:color w:val="000000" w:themeColor="text1"/>
          <w:kern w:val="0"/>
          <w:szCs w:val="21"/>
          <w14:textFill>
            <w14:solidFill>
              <w14:schemeClr w14:val="tx1"/>
            </w14:solidFill>
          </w14:textFill>
        </w:rPr>
        <w:t>31</w:t>
      </w:r>
      <w:r>
        <w:rPr>
          <w:rFonts w:hint="eastAsia" w:ascii="宋体" w:hAnsi="Calibri" w:cs="宋体"/>
          <w:color w:val="000000" w:themeColor="text1"/>
          <w:kern w:val="0"/>
          <w:szCs w:val="21"/>
          <w14:textFill>
            <w14:solidFill>
              <w14:schemeClr w14:val="tx1"/>
            </w14:solidFill>
          </w14:textFill>
        </w:rPr>
        <w:t>日的基金份额持有人名册应于下月前十个工作日内提交；《基金合同》生效日、《基金合同》终止日等涉及到基金重要事项日期的基金份额持有人名册应于发生日后十个工作日内提交。</w:t>
      </w:r>
    </w:p>
    <w:p>
      <w:pPr>
        <w:pStyle w:val="2"/>
        <w:numPr>
          <w:ilvl w:val="0"/>
          <w:numId w:val="1"/>
        </w:numPr>
        <w:spacing w:before="120" w:after="120" w:line="360" w:lineRule="auto"/>
        <w:jc w:val="center"/>
        <w:rPr>
          <w:b w:val="0"/>
          <w:color w:val="000000" w:themeColor="text1"/>
          <w:sz w:val="24"/>
          <w:szCs w:val="24"/>
          <w14:textFill>
            <w14:solidFill>
              <w14:schemeClr w14:val="tx1"/>
            </w14:solidFill>
          </w14:textFill>
        </w:rPr>
      </w:pPr>
      <w:bookmarkStart w:id="30" w:name="_Toc170895823"/>
      <w:bookmarkStart w:id="31" w:name="_Toc394474008"/>
      <w:r>
        <w:rPr>
          <w:rFonts w:hint="eastAsia"/>
          <w:color w:val="000000" w:themeColor="text1"/>
          <w:sz w:val="24"/>
          <w:szCs w:val="24"/>
          <w14:textFill>
            <w14:solidFill>
              <w14:schemeClr w14:val="tx1"/>
            </w14:solidFill>
          </w14:textFill>
        </w:rPr>
        <w:t>基金有关文件档案的保存</w:t>
      </w:r>
      <w:bookmarkEnd w:id="30"/>
      <w:bookmarkEnd w:id="31"/>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（一）档案保存</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管理人应保存财产业务活动的记录、账册报表和其他相关资料。基金托管人应保存基金托管业务活动的记录、账册、报表和其他相关资料。基金管理人和基金托管人都应当按规定的期限保管，保存期限不低于法律法规规定的最低期限。</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（二）合同档案的建立</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1</w:t>
      </w:r>
      <w:r>
        <w:rPr>
          <w:rFonts w:hint="eastAsia" w:ascii="宋体" w:hAnsi="Calibri" w:cs="宋体"/>
          <w:color w:val="000000" w:themeColor="text1"/>
          <w:kern w:val="0"/>
          <w:szCs w:val="21"/>
          <w14:textFill>
            <w14:solidFill>
              <w14:schemeClr w14:val="tx1"/>
            </w14:solidFill>
          </w14:textFill>
        </w:rPr>
        <w:t>、基金管理人代表基金签署与基金相关的重大合同文本后，应及时将重大合同传真给基金托管人，并在10个工作日内将合同文本正本送达基金托管人处。</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、基金管理人应及时将与本基金账务处理、资金划拨等有关的合同、协议以传真或者双方约定的其他方式发送给基金托管人。</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（三）变更与协助</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若基金管理人</w:t>
      </w:r>
      <w:r>
        <w:rPr>
          <w:rFonts w:ascii="宋体" w:hAnsi="Calibri" w:cs="宋体"/>
          <w:color w:val="000000" w:themeColor="text1"/>
          <w:kern w:val="0"/>
          <w:szCs w:val="21"/>
          <w14:textFill>
            <w14:solidFill>
              <w14:schemeClr w14:val="tx1"/>
            </w14:solidFill>
          </w14:textFill>
        </w:rPr>
        <w:t>/</w:t>
      </w:r>
      <w:r>
        <w:rPr>
          <w:rFonts w:hint="eastAsia" w:ascii="宋体" w:hAnsi="Calibri" w:cs="宋体"/>
          <w:color w:val="000000" w:themeColor="text1"/>
          <w:kern w:val="0"/>
          <w:szCs w:val="21"/>
          <w14:textFill>
            <w14:solidFill>
              <w14:schemeClr w14:val="tx1"/>
            </w14:solidFill>
          </w14:textFill>
        </w:rPr>
        <w:t>基金托管人发生变更，未变更的一方有义务协助变更后的接任人接收相应文件。</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（四）基金管理人和基金托管人应按各自职责完整保存原始凭证、记账凭证、基金账册、交易记录和重要合同等，承担保密义务并保存，保存年限不低于法律法规规定的最低期限。</w:t>
      </w:r>
    </w:p>
    <w:p>
      <w:pPr>
        <w:pStyle w:val="2"/>
        <w:numPr>
          <w:ilvl w:val="0"/>
          <w:numId w:val="1"/>
        </w:numPr>
        <w:spacing w:before="120" w:after="120" w:line="360" w:lineRule="auto"/>
        <w:jc w:val="center"/>
        <w:rPr>
          <w:b w:val="0"/>
          <w:color w:val="000000" w:themeColor="text1"/>
          <w:sz w:val="24"/>
          <w:szCs w:val="24"/>
          <w14:textFill>
            <w14:solidFill>
              <w14:schemeClr w14:val="tx1"/>
            </w14:solidFill>
          </w14:textFill>
        </w:rPr>
      </w:pPr>
      <w:bookmarkStart w:id="32" w:name="_Toc170895824"/>
      <w:bookmarkStart w:id="33" w:name="_Toc394474009"/>
      <w:r>
        <w:rPr>
          <w:rFonts w:hint="eastAsia"/>
          <w:color w:val="000000" w:themeColor="text1"/>
          <w:sz w:val="24"/>
          <w:szCs w:val="24"/>
          <w14:textFill>
            <w14:solidFill>
              <w14:schemeClr w14:val="tx1"/>
            </w14:solidFill>
          </w14:textFill>
        </w:rPr>
        <w:t>基金托管人和基金管理人的更换</w:t>
      </w:r>
      <w:bookmarkEnd w:id="32"/>
      <w:bookmarkEnd w:id="33"/>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（一）基金管理人的更换</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1</w:t>
      </w:r>
      <w:r>
        <w:rPr>
          <w:rFonts w:hint="eastAsia" w:ascii="宋体" w:hAnsi="Calibri" w:cs="宋体"/>
          <w:color w:val="000000" w:themeColor="text1"/>
          <w:kern w:val="0"/>
          <w:szCs w:val="21"/>
          <w14:textFill>
            <w14:solidFill>
              <w14:schemeClr w14:val="tx1"/>
            </w14:solidFill>
          </w14:textFill>
        </w:rPr>
        <w:t>、基金管理人的更换条件</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有下列情形之一的，基金管理人职责终止：</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1</w:t>
      </w:r>
      <w:r>
        <w:rPr>
          <w:rFonts w:hint="eastAsia" w:ascii="宋体" w:hAnsi="Calibri" w:cs="宋体"/>
          <w:color w:val="000000" w:themeColor="text1"/>
          <w:kern w:val="0"/>
          <w:szCs w:val="21"/>
          <w14:textFill>
            <w14:solidFill>
              <w14:schemeClr w14:val="tx1"/>
            </w14:solidFill>
          </w14:textFill>
        </w:rPr>
        <w:t>）被依法取消基金管理资格；</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）被基金份额持有人大会解任；</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3</w:t>
      </w:r>
      <w:r>
        <w:rPr>
          <w:rFonts w:hint="eastAsia" w:ascii="宋体" w:hAnsi="Calibri" w:cs="宋体"/>
          <w:color w:val="000000" w:themeColor="text1"/>
          <w:kern w:val="0"/>
          <w:szCs w:val="21"/>
          <w14:textFill>
            <w14:solidFill>
              <w14:schemeClr w14:val="tx1"/>
            </w14:solidFill>
          </w14:textFill>
        </w:rPr>
        <w:t>）依法解散、被依法撤销或被依法宣告破产；</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4</w:t>
      </w:r>
      <w:r>
        <w:rPr>
          <w:rFonts w:hint="eastAsia" w:ascii="宋体" w:hAnsi="Calibri" w:cs="宋体"/>
          <w:color w:val="000000" w:themeColor="text1"/>
          <w:kern w:val="0"/>
          <w:szCs w:val="21"/>
          <w14:textFill>
            <w14:solidFill>
              <w14:schemeClr w14:val="tx1"/>
            </w14:solidFill>
          </w14:textFill>
        </w:rPr>
        <w:t>）法律法规及中国证监会规定的和《基金合同》约定的其他情形。</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、更换基金管理人的程序</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（1）提名：新任基金管理人由基金托管人或由单独或合计持有10%以上（含10%）基金份额的基金份额持有人提名；</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（3）临时基金管理人：新任基金管理人产生之前，由中国证监会指定临时基金管理人；</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（4）备案：基金份额持有人大会更换基金管理人的决议须报中国证监会备案；</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（5）公告：基金管理人更换后，由基金托管人在更换基金管理人的基金份额持有人大会决议生效后依照《信息披露办法》的有关规定在规定媒介公告；</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基金资产净值；</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（7）审计：基金管理人职责终止的，应当按照法律法规规定聘请会计师事务所对基金财产进行审计，并将审计结果予以公告，同时报中国证监会备案，审计费用由基金财产承担；</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（8）基金名称变更：基金管理人更换后，如果原任或新任基金管理人要求，应按其要求替换或删除基金名称中与原任基金管理人有关的名称字样。</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（二）基金托管人的更换</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1</w:t>
      </w:r>
      <w:r>
        <w:rPr>
          <w:rFonts w:hint="eastAsia" w:ascii="宋体" w:hAnsi="Calibri" w:cs="宋体"/>
          <w:color w:val="000000" w:themeColor="text1"/>
          <w:kern w:val="0"/>
          <w:szCs w:val="21"/>
          <w14:textFill>
            <w14:solidFill>
              <w14:schemeClr w14:val="tx1"/>
            </w14:solidFill>
          </w14:textFill>
        </w:rPr>
        <w:t>、基金托管人的更换条件</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有下列情形之一的，基金托管人职责终止：</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1</w:t>
      </w:r>
      <w:r>
        <w:rPr>
          <w:rFonts w:hint="eastAsia" w:ascii="宋体" w:hAnsi="Calibri" w:cs="宋体"/>
          <w:color w:val="000000" w:themeColor="text1"/>
          <w:kern w:val="0"/>
          <w:szCs w:val="21"/>
          <w14:textFill>
            <w14:solidFill>
              <w14:schemeClr w14:val="tx1"/>
            </w14:solidFill>
          </w14:textFill>
        </w:rPr>
        <w:t>）被依法取消基金托管资格；</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）被基金份额持有人大会解任；</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3</w:t>
      </w:r>
      <w:r>
        <w:rPr>
          <w:rFonts w:hint="eastAsia" w:ascii="宋体" w:hAnsi="Calibri" w:cs="宋体"/>
          <w:color w:val="000000" w:themeColor="text1"/>
          <w:kern w:val="0"/>
          <w:szCs w:val="21"/>
          <w14:textFill>
            <w14:solidFill>
              <w14:schemeClr w14:val="tx1"/>
            </w14:solidFill>
          </w14:textFill>
        </w:rPr>
        <w:t>）依法解散、被依法撤销或被依法宣告破产；</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4</w:t>
      </w:r>
      <w:r>
        <w:rPr>
          <w:rFonts w:hint="eastAsia" w:ascii="宋体" w:hAnsi="Calibri" w:cs="宋体"/>
          <w:color w:val="000000" w:themeColor="text1"/>
          <w:kern w:val="0"/>
          <w:szCs w:val="21"/>
          <w14:textFill>
            <w14:solidFill>
              <w14:schemeClr w14:val="tx1"/>
            </w14:solidFill>
          </w14:textFill>
        </w:rPr>
        <w:t>）法律法规及中国证监会规定的和《基金合同》约定的其他情形。</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、更换基金托管人的程序</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（1）提名：新任基金托管人由基金管理人或由单独或合计持有10%以上（含10%）基金份额的基金份额持有人提名；</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（3）临时基金托管人：新任基金托管人产生之前，由中国证监会指定临时基金托管人；</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（4）备案：基金份额持有人大会更换基金托管人的决议须报中国证监会备案；</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（5）公告：基金托管人更换后，由基金管理人在更换基金托管人的基金份额持有人大会决议生效后依照《信息披露办法》的有关规定在规定媒介公告；</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和基金资产净值；</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（7）审计：基金托管人职责终止的，应当按照法律法规规定聘请会计师事务所对基金财产进行审计，并将审计结果予以公告，同时报中国证监会备案，审计费用由基金财产承担。</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（三）基金管理人和基金托管人的同时更换</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1</w:t>
      </w:r>
      <w:r>
        <w:rPr>
          <w:rFonts w:hint="eastAsia" w:ascii="宋体" w:hAnsi="Calibri" w:cs="宋体"/>
          <w:color w:val="000000" w:themeColor="text1"/>
          <w:kern w:val="0"/>
          <w:szCs w:val="21"/>
          <w14:textFill>
            <w14:solidFill>
              <w14:schemeClr w14:val="tx1"/>
            </w14:solidFill>
          </w14:textFill>
        </w:rPr>
        <w:t>）提名：如果基金管理人和基金托管人同时更换，由单独或合计持有基金总份额</w:t>
      </w:r>
      <w:r>
        <w:rPr>
          <w:rFonts w:ascii="宋体" w:hAnsi="Calibri" w:cs="宋体"/>
          <w:color w:val="000000" w:themeColor="text1"/>
          <w:kern w:val="0"/>
          <w:szCs w:val="21"/>
          <w14:textFill>
            <w14:solidFill>
              <w14:schemeClr w14:val="tx1"/>
            </w14:solidFill>
          </w14:textFill>
        </w:rPr>
        <w:t>10%</w:t>
      </w:r>
      <w:r>
        <w:rPr>
          <w:rFonts w:hint="eastAsia" w:ascii="宋体" w:hAnsi="Calibri" w:cs="宋体"/>
          <w:color w:val="000000" w:themeColor="text1"/>
          <w:kern w:val="0"/>
          <w:szCs w:val="21"/>
          <w14:textFill>
            <w14:solidFill>
              <w14:schemeClr w14:val="tx1"/>
            </w14:solidFill>
          </w14:textFill>
        </w:rPr>
        <w:t>以上（含</w:t>
      </w:r>
      <w:r>
        <w:rPr>
          <w:rFonts w:ascii="宋体" w:hAnsi="Calibri" w:cs="宋体"/>
          <w:color w:val="000000" w:themeColor="text1"/>
          <w:kern w:val="0"/>
          <w:szCs w:val="21"/>
          <w14:textFill>
            <w14:solidFill>
              <w14:schemeClr w14:val="tx1"/>
            </w14:solidFill>
          </w14:textFill>
        </w:rPr>
        <w:t>10%</w:t>
      </w:r>
      <w:r>
        <w:rPr>
          <w:rFonts w:hint="eastAsia" w:ascii="宋体" w:hAnsi="Calibri" w:cs="宋体"/>
          <w:color w:val="000000" w:themeColor="text1"/>
          <w:kern w:val="0"/>
          <w:szCs w:val="21"/>
          <w14:textFill>
            <w14:solidFill>
              <w14:schemeClr w14:val="tx1"/>
            </w14:solidFill>
          </w14:textFill>
        </w:rPr>
        <w:t>）的基金份额持有人提名新的基金管理人和基金托管人；</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）基金管理人和基金托管人的更换分别按上述程序进行；</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3</w:t>
      </w:r>
      <w:r>
        <w:rPr>
          <w:rFonts w:hint="eastAsia" w:ascii="宋体" w:hAnsi="Calibri" w:cs="宋体"/>
          <w:color w:val="000000" w:themeColor="text1"/>
          <w:kern w:val="0"/>
          <w:szCs w:val="21"/>
          <w14:textFill>
            <w14:solidFill>
              <w14:schemeClr w14:val="tx1"/>
            </w14:solidFill>
          </w14:textFill>
        </w:rPr>
        <w:t>）公告：新任基金管理人和新任基金托管人应在更换基金管理人和基金托管人的基金份额持有人大会决议生效后依照《信息披露办法》的有关规定在规定媒介上联合公告。</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四）新任基金管理人或临时基金管理人接收基金管理业务，或新任基金托管人或临时基金托管人接收基金财产和基金托管业务前，原任基金管理人或原任基金托管人应依据法律法规和基金合同的规定继续履行相关职责，并保证不做出对基金份额持有人的利益造成损害的行为。原任基金管理人或原任基金托管人在继续履行相关职责期间，仍有权按照基金合同的规定收取基金管理费或基金托管费。</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（五）</w:t>
      </w:r>
      <w:r>
        <w:rPr>
          <w:rFonts w:hint="eastAsia" w:ascii="宋体" w:hAnsi="Calibri" w:cs="宋体"/>
          <w:color w:val="000000" w:themeColor="text1"/>
          <w:kern w:val="0"/>
          <w:szCs w:val="21"/>
          <w14:textFill>
            <w14:solidFill>
              <w14:schemeClr w14:val="tx1"/>
            </w14:solidFill>
          </w14:textFill>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pPr>
        <w:pStyle w:val="2"/>
        <w:numPr>
          <w:ilvl w:val="0"/>
          <w:numId w:val="1"/>
        </w:numPr>
        <w:spacing w:before="120" w:after="120" w:line="360" w:lineRule="auto"/>
        <w:jc w:val="center"/>
        <w:rPr>
          <w:b w:val="0"/>
          <w:color w:val="000000" w:themeColor="text1"/>
          <w:sz w:val="24"/>
          <w:szCs w:val="24"/>
          <w14:textFill>
            <w14:solidFill>
              <w14:schemeClr w14:val="tx1"/>
            </w14:solidFill>
          </w14:textFill>
        </w:rPr>
      </w:pPr>
      <w:bookmarkStart w:id="34" w:name="_Toc170895825"/>
      <w:bookmarkStart w:id="35" w:name="_Toc394474010"/>
      <w:r>
        <w:rPr>
          <w:rFonts w:hint="eastAsia"/>
          <w:color w:val="000000" w:themeColor="text1"/>
          <w:sz w:val="24"/>
          <w:szCs w:val="24"/>
          <w14:textFill>
            <w14:solidFill>
              <w14:schemeClr w14:val="tx1"/>
            </w14:solidFill>
          </w14:textFill>
        </w:rPr>
        <w:t>禁止行为</w:t>
      </w:r>
      <w:bookmarkEnd w:id="34"/>
      <w:bookmarkEnd w:id="35"/>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托管协议当事人禁止从事的行为，包括但不限于：</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（一）基金管理人、基金托管人将其固有财产或者他人财产混同于基金财产从事证券投资。</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（二）基金管理人、基金托管人不公平地对待其管理或托管的不同基金财产。</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（三）基金管理人、基金托管人利用基金财产或职务之便为基金份额持有人以外的第三人牟取利益。</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（四）基金管理人、基金托管人向基金份额持有人违规承诺收益或者承担损失。</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（五）基金管理人、基金托管人对他人泄露基金经营过程中任何尚未按法律法规规定的方式公开披露的信息。</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（六）基金管理人在没有充足资金的情况下向基金托管人发出投资指令和赎回、分红资金的划拨指令，或违规向基金托管人发出指令。</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（七）基金托管人对基金管理人的正常有效指令拖延或拒绝执行。</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（八）基金管理人、基金托管人在行政上、财务上不独立，其高级基金管理人员和其他从业人员相互兼职。</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（九）基金托管人私自动用或处分基金资产，根据基金管理人的合法指令、《基金合同》或托管协议的规定进行处分的除外。</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（十）基金管理人、基金托管人不得利用基金财产用于下列投资或者活动（同本协议第三章约定内容）：</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1</w:t>
      </w:r>
      <w:r>
        <w:rPr>
          <w:rFonts w:hint="eastAsia" w:ascii="宋体" w:hAnsi="Calibri" w:cs="宋体"/>
          <w:color w:val="000000" w:themeColor="text1"/>
          <w:kern w:val="0"/>
          <w:szCs w:val="21"/>
          <w14:textFill>
            <w14:solidFill>
              <w14:schemeClr w14:val="tx1"/>
            </w14:solidFill>
          </w14:textFill>
        </w:rPr>
        <w:t>）承销证券；</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）违反规定向他人贷款或者提供担保；</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3</w:t>
      </w:r>
      <w:r>
        <w:rPr>
          <w:rFonts w:hint="eastAsia" w:ascii="宋体" w:hAnsi="Calibri" w:cs="宋体"/>
          <w:color w:val="000000" w:themeColor="text1"/>
          <w:kern w:val="0"/>
          <w:szCs w:val="21"/>
          <w14:textFill>
            <w14:solidFill>
              <w14:schemeClr w14:val="tx1"/>
            </w14:solidFill>
          </w14:textFill>
        </w:rPr>
        <w:t>）从事承担无限责任的投资；</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4</w:t>
      </w:r>
      <w:r>
        <w:rPr>
          <w:rFonts w:hint="eastAsia" w:ascii="宋体" w:hAnsi="Calibri" w:cs="宋体"/>
          <w:color w:val="000000" w:themeColor="text1"/>
          <w:kern w:val="0"/>
          <w:szCs w:val="21"/>
          <w14:textFill>
            <w14:solidFill>
              <w14:schemeClr w14:val="tx1"/>
            </w14:solidFill>
          </w14:textFill>
        </w:rPr>
        <w:t>）买卖除目标ETF基金份额以外的其他基金份额，但是中国证监会另有规定的除外；</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5</w:t>
      </w:r>
      <w:r>
        <w:rPr>
          <w:rFonts w:hint="eastAsia" w:ascii="宋体" w:hAnsi="Calibri" w:cs="宋体"/>
          <w:color w:val="000000" w:themeColor="text1"/>
          <w:kern w:val="0"/>
          <w:szCs w:val="21"/>
          <w14:textFill>
            <w14:solidFill>
              <w14:schemeClr w14:val="tx1"/>
            </w14:solidFill>
          </w14:textFill>
        </w:rPr>
        <w:t>）向其基金管理人、基金托管人出资；</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6</w:t>
      </w:r>
      <w:r>
        <w:rPr>
          <w:rFonts w:hint="eastAsia" w:ascii="宋体" w:hAnsi="Calibri" w:cs="宋体"/>
          <w:color w:val="000000" w:themeColor="text1"/>
          <w:kern w:val="0"/>
          <w:szCs w:val="21"/>
          <w14:textFill>
            <w14:solidFill>
              <w14:schemeClr w14:val="tx1"/>
            </w14:solidFill>
          </w14:textFill>
        </w:rPr>
        <w:t>）从事内幕交易、操纵证券交易价格及其他不正当的证券交易活动；</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7</w:t>
      </w:r>
      <w:r>
        <w:rPr>
          <w:rFonts w:hint="eastAsia" w:ascii="宋体" w:hAnsi="Calibri" w:cs="宋体"/>
          <w:color w:val="000000" w:themeColor="text1"/>
          <w:kern w:val="0"/>
          <w:szCs w:val="21"/>
          <w14:textFill>
            <w14:solidFill>
              <w14:schemeClr w14:val="tx1"/>
            </w14:solidFill>
          </w14:textFill>
        </w:rPr>
        <w:t>）法律、行政法规和中国证监会规定禁止的其他活动。</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法律法规或监管部门取消或变更上述禁止性规定，如适用于本基金，基金管理人在履行适当程序后，则本基金投资不再受相关限制或按变更后的规定执行。</w:t>
      </w:r>
    </w:p>
    <w:p>
      <w:pPr>
        <w:pStyle w:val="2"/>
        <w:numPr>
          <w:ilvl w:val="0"/>
          <w:numId w:val="1"/>
        </w:numPr>
        <w:spacing w:before="120" w:after="120" w:line="360" w:lineRule="auto"/>
        <w:jc w:val="center"/>
        <w:rPr>
          <w:b w:val="0"/>
          <w:color w:val="000000" w:themeColor="text1"/>
          <w:sz w:val="24"/>
          <w:szCs w:val="24"/>
          <w14:textFill>
            <w14:solidFill>
              <w14:schemeClr w14:val="tx1"/>
            </w14:solidFill>
          </w14:textFill>
        </w:rPr>
      </w:pPr>
      <w:bookmarkStart w:id="36" w:name="_Toc394474011"/>
      <w:bookmarkStart w:id="37" w:name="_Toc170895826"/>
      <w:r>
        <w:rPr>
          <w:rFonts w:hint="eastAsia"/>
          <w:color w:val="000000" w:themeColor="text1"/>
          <w:sz w:val="24"/>
          <w:szCs w:val="24"/>
          <w14:textFill>
            <w14:solidFill>
              <w14:schemeClr w14:val="tx1"/>
            </w14:solidFill>
          </w14:textFill>
        </w:rPr>
        <w:t>托管协议的变更、终止与基金财产的清算</w:t>
      </w:r>
      <w:bookmarkEnd w:id="36"/>
      <w:bookmarkEnd w:id="37"/>
    </w:p>
    <w:p>
      <w:pPr>
        <w:autoSpaceDE w:val="0"/>
        <w:autoSpaceDN w:val="0"/>
        <w:adjustRightInd w:val="0"/>
        <w:spacing w:line="360" w:lineRule="auto"/>
        <w:ind w:firstLine="315" w:firstLineChars="15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（一）托管协议的变更与终止</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1</w:t>
      </w:r>
      <w:r>
        <w:rPr>
          <w:rFonts w:hint="eastAsia" w:ascii="宋体" w:hAnsi="Calibri" w:cs="宋体"/>
          <w:color w:val="000000" w:themeColor="text1"/>
          <w:kern w:val="0"/>
          <w:szCs w:val="21"/>
          <w14:textFill>
            <w14:solidFill>
              <w14:schemeClr w14:val="tx1"/>
            </w14:solidFill>
          </w14:textFill>
        </w:rPr>
        <w:t>、托管协议的变更程序</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本协议双方当事人经协商一致，可以对协议的内容进行变更。变更后的托管协议，其内容不得与《基金合同》的规定有任何冲突。</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、基金托管协议终止的情形</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发生以下情况，本托管协议终止：</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1</w:t>
      </w:r>
      <w:r>
        <w:rPr>
          <w:rFonts w:hint="eastAsia" w:ascii="宋体" w:hAnsi="Calibri" w:cs="宋体"/>
          <w:color w:val="000000" w:themeColor="text1"/>
          <w:kern w:val="0"/>
          <w:szCs w:val="21"/>
          <w14:textFill>
            <w14:solidFill>
              <w14:schemeClr w14:val="tx1"/>
            </w14:solidFill>
          </w14:textFill>
        </w:rPr>
        <w:t>）《基金合同》终止；</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）基金托管人解散、依法被撤销、破产或有其他基金托管人接管基金资产；</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3</w:t>
      </w:r>
      <w:r>
        <w:rPr>
          <w:rFonts w:hint="eastAsia" w:ascii="宋体" w:hAnsi="Calibri" w:cs="宋体"/>
          <w:color w:val="000000" w:themeColor="text1"/>
          <w:kern w:val="0"/>
          <w:szCs w:val="21"/>
          <w14:textFill>
            <w14:solidFill>
              <w14:schemeClr w14:val="tx1"/>
            </w14:solidFill>
          </w14:textFill>
        </w:rPr>
        <w:t>）基金管理人解散、依法被撤销、破产或有其他基金管理人接管基金管理权；</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4</w:t>
      </w:r>
      <w:r>
        <w:rPr>
          <w:rFonts w:hint="eastAsia" w:ascii="宋体" w:hAnsi="Calibri" w:cs="宋体"/>
          <w:color w:val="000000" w:themeColor="text1"/>
          <w:kern w:val="0"/>
          <w:szCs w:val="21"/>
          <w14:textFill>
            <w14:solidFill>
              <w14:schemeClr w14:val="tx1"/>
            </w14:solidFill>
          </w14:textFill>
        </w:rPr>
        <w:t>）发生法律法规、中国证监会或《基金合同》规定的终止事项。</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（二）基金财产的清算</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1</w:t>
      </w:r>
      <w:r>
        <w:rPr>
          <w:rFonts w:hint="eastAsia" w:ascii="宋体" w:hAnsi="Calibri" w:cs="宋体"/>
          <w:color w:val="000000" w:themeColor="text1"/>
          <w:kern w:val="0"/>
          <w:szCs w:val="21"/>
          <w14:textFill>
            <w14:solidFill>
              <w14:schemeClr w14:val="tx1"/>
            </w14:solidFill>
          </w14:textFill>
        </w:rPr>
        <w:t>、基金财产清算小组：自出现《基金合同》终止事由之日起30个工作日内成立基金财产清算小组，基金管理人组织基金财产清算小组并在中国证监会的监督下进行基金清算。</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基金财产清算小组组成：基金财产清算小组成员由基金管理人、基金托管人、符合《中华人民共和国证券法》规定的注册会计师、律师以及中国证监会指定的人员组成。基金财产清算小组可以聘用必要的工作人员。</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3</w:t>
      </w:r>
      <w:r>
        <w:rPr>
          <w:rFonts w:hint="eastAsia" w:ascii="宋体" w:hAnsi="Calibri" w:cs="宋体"/>
          <w:color w:val="000000" w:themeColor="text1"/>
          <w:kern w:val="0"/>
          <w:szCs w:val="21"/>
          <w14:textFill>
            <w14:solidFill>
              <w14:schemeClr w14:val="tx1"/>
            </w14:solidFill>
          </w14:textFill>
        </w:rPr>
        <w:t>、基金财产清算小组职责：基金财产清算小组负责基金财产的保管、清理、估价、变现和分配。基金财产清算小组可以依法进行必要的民事活动。</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4</w:t>
      </w:r>
      <w:r>
        <w:rPr>
          <w:rFonts w:hint="eastAsia" w:ascii="宋体" w:hAnsi="Calibri" w:cs="宋体"/>
          <w:color w:val="000000" w:themeColor="text1"/>
          <w:kern w:val="0"/>
          <w:szCs w:val="21"/>
          <w14:textFill>
            <w14:solidFill>
              <w14:schemeClr w14:val="tx1"/>
            </w14:solidFill>
          </w14:textFill>
        </w:rPr>
        <w:t>、基金财产清算程序：</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1</w:t>
      </w: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《基金合同》</w:t>
      </w:r>
      <w:r>
        <w:rPr>
          <w:rFonts w:hint="eastAsia" w:ascii="宋体" w:hAnsi="Calibri" w:cs="宋体"/>
          <w:color w:val="000000" w:themeColor="text1"/>
          <w:kern w:val="0"/>
          <w:szCs w:val="21"/>
          <w14:textFill>
            <w14:solidFill>
              <w14:schemeClr w14:val="tx1"/>
            </w14:solidFill>
          </w14:textFill>
        </w:rPr>
        <w:t>终止情形出现时，由基金财产清算小组统一接管基金；</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2</w:t>
      </w:r>
      <w:r>
        <w:rPr>
          <w:rFonts w:hint="eastAsia" w:ascii="宋体" w:hAnsi="Calibri" w:cs="宋体"/>
          <w:color w:val="000000" w:themeColor="text1"/>
          <w:kern w:val="0"/>
          <w:szCs w:val="21"/>
          <w14:textFill>
            <w14:solidFill>
              <w14:schemeClr w14:val="tx1"/>
            </w14:solidFill>
          </w14:textFill>
        </w:rPr>
        <w:t>）对基金财产和债权债务进行清理和确认；</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3</w:t>
      </w:r>
      <w:r>
        <w:rPr>
          <w:rFonts w:hint="eastAsia" w:ascii="宋体" w:hAnsi="Calibri" w:cs="宋体"/>
          <w:color w:val="000000" w:themeColor="text1"/>
          <w:kern w:val="0"/>
          <w:szCs w:val="21"/>
          <w14:textFill>
            <w14:solidFill>
              <w14:schemeClr w14:val="tx1"/>
            </w14:solidFill>
          </w14:textFill>
        </w:rPr>
        <w:t>）对基金财产进行估值和变现；</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4</w:t>
      </w:r>
      <w:r>
        <w:rPr>
          <w:rFonts w:hint="eastAsia" w:ascii="宋体" w:hAnsi="Calibri" w:cs="宋体"/>
          <w:color w:val="000000" w:themeColor="text1"/>
          <w:kern w:val="0"/>
          <w:szCs w:val="21"/>
          <w14:textFill>
            <w14:solidFill>
              <w14:schemeClr w14:val="tx1"/>
            </w14:solidFill>
          </w14:textFill>
        </w:rPr>
        <w:t>）制作清算报告；</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5</w:t>
      </w:r>
      <w:r>
        <w:rPr>
          <w:rFonts w:hint="eastAsia" w:ascii="宋体" w:hAnsi="Calibri" w:cs="宋体"/>
          <w:color w:val="000000" w:themeColor="text1"/>
          <w:kern w:val="0"/>
          <w:szCs w:val="21"/>
          <w14:textFill>
            <w14:solidFill>
              <w14:schemeClr w14:val="tx1"/>
            </w14:solidFill>
          </w14:textFill>
        </w:rPr>
        <w:t>）聘请会计师事务所对清算报告进行外部审计，聘请律师事务所对清算报告出具法律意见书；</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6</w:t>
      </w:r>
      <w:r>
        <w:rPr>
          <w:rFonts w:hint="eastAsia" w:ascii="宋体" w:hAnsi="Calibri" w:cs="宋体"/>
          <w:color w:val="000000" w:themeColor="text1"/>
          <w:kern w:val="0"/>
          <w:szCs w:val="21"/>
          <w14:textFill>
            <w14:solidFill>
              <w14:schemeClr w14:val="tx1"/>
            </w14:solidFill>
          </w14:textFill>
        </w:rPr>
        <w:t>）将清算报告报中国证监会备案并公告；</w:t>
      </w:r>
    </w:p>
    <w:p>
      <w:pPr>
        <w:autoSpaceDE w:val="0"/>
        <w:autoSpaceDN w:val="0"/>
        <w:adjustRightInd w:val="0"/>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w:t>
      </w:r>
      <w:r>
        <w:rPr>
          <w:rFonts w:ascii="宋体" w:hAnsi="Calibri" w:cs="宋体"/>
          <w:color w:val="000000" w:themeColor="text1"/>
          <w:kern w:val="0"/>
          <w:szCs w:val="21"/>
          <w14:textFill>
            <w14:solidFill>
              <w14:schemeClr w14:val="tx1"/>
            </w14:solidFill>
          </w14:textFill>
        </w:rPr>
        <w:t>7</w:t>
      </w:r>
      <w:r>
        <w:rPr>
          <w:rFonts w:hint="eastAsia" w:ascii="宋体" w:hAnsi="Calibri" w:cs="宋体"/>
          <w:color w:val="000000" w:themeColor="text1"/>
          <w:kern w:val="0"/>
          <w:szCs w:val="21"/>
          <w14:textFill>
            <w14:solidFill>
              <w14:schemeClr w14:val="tx1"/>
            </w14:solidFill>
          </w14:textFill>
        </w:rPr>
        <w:t>）对基金剩余财产进行分配。</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5</w:t>
      </w:r>
      <w:r>
        <w:rPr>
          <w:rFonts w:hint="eastAsia" w:ascii="宋体" w:hAnsi="Calibri" w:cs="宋体"/>
          <w:color w:val="000000" w:themeColor="text1"/>
          <w:kern w:val="0"/>
          <w:szCs w:val="21"/>
          <w14:textFill>
            <w14:solidFill>
              <w14:schemeClr w14:val="tx1"/>
            </w14:solidFill>
          </w14:textFill>
        </w:rPr>
        <w:t>、基金财产清算的期限为6个月，但因本基金所持证券的流动性受到限制而不能及时变现的，清算期限相应顺延。</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6</w:t>
      </w:r>
      <w:r>
        <w:rPr>
          <w:rFonts w:hint="eastAsia" w:ascii="宋体" w:hAnsi="Calibri" w:cs="宋体"/>
          <w:color w:val="000000" w:themeColor="text1"/>
          <w:kern w:val="0"/>
          <w:szCs w:val="21"/>
          <w14:textFill>
            <w14:solidFill>
              <w14:schemeClr w14:val="tx1"/>
            </w14:solidFill>
          </w14:textFill>
        </w:rPr>
        <w:t>、清算费用</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清算费用是指基金财产清算小组在进行基金清算过程中发生的所有合理费用，清算费用由基金财产清算小组优先从基金剩余财产中支付。</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7</w:t>
      </w:r>
      <w:r>
        <w:rPr>
          <w:rFonts w:hint="eastAsia" w:ascii="宋体" w:hAnsi="Calibri" w:cs="宋体"/>
          <w:color w:val="000000" w:themeColor="text1"/>
          <w:kern w:val="0"/>
          <w:szCs w:val="21"/>
          <w14:textFill>
            <w14:solidFill>
              <w14:schemeClr w14:val="tx1"/>
            </w14:solidFill>
          </w14:textFill>
        </w:rPr>
        <w:t>、基金财产清算剩余资产的分配</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依据基金财产清算的分配方案，将基金财产清算后的全部剩余资产扣除基金财产清算费用、交纳所欠税款并清偿基金债务后，按基金份额持有人持有的各类基金份额比例进行分配。</w:t>
      </w:r>
    </w:p>
    <w:p>
      <w:pPr>
        <w:spacing w:line="360" w:lineRule="auto"/>
        <w:ind w:firstLine="42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8</w:t>
      </w:r>
      <w:r>
        <w:rPr>
          <w:rFonts w:hint="eastAsia" w:ascii="宋体" w:hAnsi="Calibri" w:cs="宋体"/>
          <w:color w:val="000000" w:themeColor="text1"/>
          <w:kern w:val="0"/>
          <w:szCs w:val="21"/>
          <w14:textFill>
            <w14:solidFill>
              <w14:schemeClr w14:val="tx1"/>
            </w14:solidFill>
          </w14:textFill>
        </w:rPr>
        <w:t>、基金财产清算的公告</w:t>
      </w:r>
    </w:p>
    <w:p>
      <w:pPr>
        <w:spacing w:line="360" w:lineRule="auto"/>
        <w:ind w:firstLine="42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宋体" w:hAnsi="Calibri" w:cs="宋体"/>
          <w:color w:val="000000" w:themeColor="text1"/>
          <w:kern w:val="0"/>
          <w:szCs w:val="21"/>
          <w14:textFill>
            <w14:solidFill>
              <w14:schemeClr w14:val="tx1"/>
            </w14:solidFill>
          </w14:textFill>
        </w:rPr>
        <w:t>5</w:t>
      </w:r>
      <w:r>
        <w:rPr>
          <w:rFonts w:hint="eastAsia" w:ascii="宋体" w:hAnsi="Calibri" w:cs="宋体"/>
          <w:color w:val="000000" w:themeColor="text1"/>
          <w:kern w:val="0"/>
          <w:szCs w:val="21"/>
          <w14:textFill>
            <w14:solidFill>
              <w14:schemeClr w14:val="tx1"/>
            </w14:solidFill>
          </w14:textFill>
        </w:rPr>
        <w:t>个工作日内由基金财产清算小组进行公告。</w:t>
      </w:r>
    </w:p>
    <w:p>
      <w:pPr>
        <w:spacing w:line="360" w:lineRule="auto"/>
        <w:ind w:firstLine="420"/>
        <w:rPr>
          <w:rFonts w:ascii="宋体" w:hAnsi="Calibri" w:cs="宋体"/>
          <w:color w:val="000000" w:themeColor="text1"/>
          <w:kern w:val="0"/>
          <w:szCs w:val="21"/>
          <w14:textFill>
            <w14:solidFill>
              <w14:schemeClr w14:val="tx1"/>
            </w14:solidFill>
          </w14:textFill>
        </w:rPr>
      </w:pPr>
      <w:r>
        <w:rPr>
          <w:rFonts w:ascii="宋体" w:hAnsi="Calibri" w:cs="宋体"/>
          <w:color w:val="000000" w:themeColor="text1"/>
          <w:kern w:val="0"/>
          <w:szCs w:val="21"/>
          <w14:textFill>
            <w14:solidFill>
              <w14:schemeClr w14:val="tx1"/>
            </w14:solidFill>
          </w14:textFill>
        </w:rPr>
        <w:t>9</w:t>
      </w:r>
      <w:r>
        <w:rPr>
          <w:rFonts w:hint="eastAsia" w:ascii="宋体" w:hAnsi="Calibri" w:cs="宋体"/>
          <w:color w:val="000000" w:themeColor="text1"/>
          <w:kern w:val="0"/>
          <w:szCs w:val="21"/>
          <w14:textFill>
            <w14:solidFill>
              <w14:schemeClr w14:val="tx1"/>
            </w14:solidFill>
          </w14:textFill>
        </w:rPr>
        <w:t>、基金财产清算账册及文件的保存</w:t>
      </w:r>
    </w:p>
    <w:p>
      <w:pPr>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基金财产清算账册及有关文件由基金托管人保存，保存年限不低于法律法规规定的最低期限。</w:t>
      </w:r>
    </w:p>
    <w:p>
      <w:pPr>
        <w:pStyle w:val="2"/>
        <w:numPr>
          <w:ilvl w:val="0"/>
          <w:numId w:val="1"/>
        </w:numPr>
        <w:spacing w:before="120" w:after="120" w:line="360" w:lineRule="auto"/>
        <w:jc w:val="center"/>
        <w:rPr>
          <w:b w:val="0"/>
          <w:color w:val="000000" w:themeColor="text1"/>
          <w:sz w:val="24"/>
          <w:szCs w:val="24"/>
          <w14:textFill>
            <w14:solidFill>
              <w14:schemeClr w14:val="tx1"/>
            </w14:solidFill>
          </w14:textFill>
        </w:rPr>
      </w:pPr>
      <w:bookmarkStart w:id="38" w:name="_Toc170895827"/>
      <w:bookmarkStart w:id="39" w:name="_Toc394474012"/>
      <w:r>
        <w:rPr>
          <w:rFonts w:hint="eastAsia"/>
          <w:color w:val="000000" w:themeColor="text1"/>
          <w:sz w:val="24"/>
          <w:szCs w:val="24"/>
          <w14:textFill>
            <w14:solidFill>
              <w14:schemeClr w14:val="tx1"/>
            </w14:solidFill>
          </w14:textFill>
        </w:rPr>
        <w:t>违约责任和责任划分</w:t>
      </w:r>
      <w:bookmarkEnd w:id="38"/>
      <w:bookmarkEnd w:id="39"/>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（一）本协议当事人不履行本协议或履行本协议不符合约定的，应当承担违约责任。</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（二）因本协议当事人违约给基金财产或者基金份额持有人造成损害的，应当分别对各自的行为依法承担赔偿责任，因共同行为给基金财产或者基金份额持有人造成损害的，应当承担连带赔偿责任。</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（三）一方当事人违反本协议，给另一方当事人造成损失的，应承担赔偿责任。</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（四）发生下列情况时，当事人免责：</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1、不可抗力；</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2、基金管理人和/或基金托管人按照届时有效的法律法规或中国证监会的规定作为或不作为而造成的损失等；</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3、基金管理人由于按照基金合同约定的投资原则行使或不行使其投资权而造成的损失等。</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五）当事人一方违约，另一方在职责范围内有义务及时采取必要的措施，尽力防止损失的扩大。没有采取适当措施致使损失进一步扩大的，不得就扩大的损失要求赔偿。非违约方因防止损失扩大而支出的合理费用由违约方承担。</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（六）违约行为虽已发生，但本协议能够继续履行的，在最大限度地保护基金份额持有人利益的前提下，基金管理人和基金托管人应当继续履行本协议。</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七）由于基金管理人、基金托管人不可控制的因素导致业务出现差错，基金管理人和基金托管人虽然已经采取必要、适当、合理的措施进行检查，但是未能发现错误的或未能避免错误发生的，由此造成基金财产或投资人损失，基金管理人和基金托管人免除赔偿责任。但是基金管理人和基金托管人应积极采取必要的措施消除或减轻由此造成的影响。</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（八）本协议所述责任划分仅指基金</w:t>
      </w:r>
      <w:r>
        <w:rPr>
          <w:rFonts w:ascii="宋体" w:hAnsi="Calibri" w:cs="宋体"/>
          <w:color w:val="000000" w:themeColor="text1"/>
          <w:kern w:val="0"/>
          <w:szCs w:val="21"/>
          <w14:textFill>
            <w14:solidFill>
              <w14:schemeClr w14:val="tx1"/>
            </w14:solidFill>
          </w14:textFill>
        </w:rPr>
        <w:t>/</w:t>
      </w:r>
      <w:r>
        <w:rPr>
          <w:rFonts w:hint="eastAsia" w:ascii="宋体" w:hAnsi="Calibri" w:cs="宋体"/>
          <w:color w:val="000000" w:themeColor="text1"/>
          <w:kern w:val="0"/>
          <w:szCs w:val="21"/>
          <w14:textFill>
            <w14:solidFill>
              <w14:schemeClr w14:val="tx1"/>
            </w14:solidFill>
          </w14:textFill>
        </w:rPr>
        <w:t>基金管理人、基金</w:t>
      </w:r>
      <w:r>
        <w:rPr>
          <w:rFonts w:ascii="宋体" w:hAnsi="Calibri" w:cs="宋体"/>
          <w:color w:val="000000" w:themeColor="text1"/>
          <w:kern w:val="0"/>
          <w:szCs w:val="21"/>
          <w14:textFill>
            <w14:solidFill>
              <w14:schemeClr w14:val="tx1"/>
            </w14:solidFill>
          </w14:textFill>
        </w:rPr>
        <w:t>/</w:t>
      </w:r>
      <w:r>
        <w:rPr>
          <w:rFonts w:hint="eastAsia" w:ascii="宋体" w:hAnsi="Calibri" w:cs="宋体"/>
          <w:color w:val="000000" w:themeColor="text1"/>
          <w:kern w:val="0"/>
          <w:szCs w:val="21"/>
          <w14:textFill>
            <w14:solidFill>
              <w14:schemeClr w14:val="tx1"/>
            </w14:solidFill>
          </w14:textFill>
        </w:rPr>
        <w:t>基金托管人之间的责任划分，并不影响承担责任一方向其他责任方追索的权利。</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（九）本协议所指损失均为直接损失。</w:t>
      </w:r>
    </w:p>
    <w:p>
      <w:pPr>
        <w:pStyle w:val="2"/>
        <w:numPr>
          <w:ilvl w:val="0"/>
          <w:numId w:val="1"/>
        </w:numPr>
        <w:spacing w:before="120" w:after="120" w:line="360" w:lineRule="auto"/>
        <w:jc w:val="center"/>
        <w:rPr>
          <w:b w:val="0"/>
          <w:color w:val="000000" w:themeColor="text1"/>
          <w:sz w:val="24"/>
          <w:szCs w:val="24"/>
          <w14:textFill>
            <w14:solidFill>
              <w14:schemeClr w14:val="tx1"/>
            </w14:solidFill>
          </w14:textFill>
        </w:rPr>
      </w:pPr>
      <w:bookmarkStart w:id="40" w:name="_Toc394474013"/>
      <w:bookmarkStart w:id="41" w:name="_Toc170895828"/>
      <w:r>
        <w:rPr>
          <w:rFonts w:hint="eastAsia"/>
          <w:color w:val="000000" w:themeColor="text1"/>
          <w:sz w:val="24"/>
          <w:szCs w:val="24"/>
          <w14:textFill>
            <w14:solidFill>
              <w14:schemeClr w14:val="tx1"/>
            </w14:solidFill>
          </w14:textFill>
        </w:rPr>
        <w:t>适用法律与争议解决方式</w:t>
      </w:r>
      <w:bookmarkEnd w:id="40"/>
      <w:bookmarkEnd w:id="41"/>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因本协议产生或与之相关的争议，如经友好协商未能解决的，应提交中国国际经济贸易仲裁委员会，根据该委员会届时有效的仲裁规则进行仲裁，仲裁地点为北京，仲裁裁决是终局性的并对各方当事人具有约束力，除非仲裁裁决另有规定，仲裁费由败诉方承担。</w:t>
      </w:r>
    </w:p>
    <w:p>
      <w:pPr>
        <w:autoSpaceDE w:val="0"/>
        <w:autoSpaceDN w:val="0"/>
        <w:adjustRightInd w:val="0"/>
        <w:spacing w:line="360" w:lineRule="auto"/>
        <w:ind w:firstLine="420" w:firstLineChars="200"/>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争议处理期间，双方当事人应恪守基金管理人和基金托管人职责，各自继续忠实、勤勉、尽责地履行《基金合同》和本托管协议规定的义务，维护基金份额持有人的合法权益。</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本协议受中国法律(为本协议之目的，在此不包括香港特别行政区、澳门特别行政区和台湾地区法律)管辖。</w:t>
      </w:r>
    </w:p>
    <w:p>
      <w:pPr>
        <w:pStyle w:val="2"/>
        <w:numPr>
          <w:ilvl w:val="0"/>
          <w:numId w:val="1"/>
        </w:numPr>
        <w:spacing w:before="120" w:after="120" w:line="360" w:lineRule="auto"/>
        <w:jc w:val="center"/>
        <w:rPr>
          <w:b w:val="0"/>
          <w:color w:val="000000" w:themeColor="text1"/>
          <w:sz w:val="24"/>
          <w:szCs w:val="24"/>
          <w14:textFill>
            <w14:solidFill>
              <w14:schemeClr w14:val="tx1"/>
            </w14:solidFill>
          </w14:textFill>
        </w:rPr>
      </w:pPr>
      <w:bookmarkStart w:id="42" w:name="_Toc170895829"/>
      <w:bookmarkStart w:id="43" w:name="_Toc394474014"/>
      <w:r>
        <w:rPr>
          <w:rFonts w:hint="eastAsia"/>
          <w:color w:val="000000" w:themeColor="text1"/>
          <w:sz w:val="24"/>
          <w:szCs w:val="24"/>
          <w14:textFill>
            <w14:solidFill>
              <w14:schemeClr w14:val="tx1"/>
            </w14:solidFill>
          </w14:textFill>
        </w:rPr>
        <w:t>托管协议的效力</w:t>
      </w:r>
      <w:bookmarkEnd w:id="42"/>
      <w:bookmarkEnd w:id="43"/>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基金管理人在向中国证监会申请基金募集注册时提交的基金托管协议草案，应经托管协议当事人双方盖章以及双方法定代表人或授权代表签名或盖章，协议当事人双方根据中国证监会的意见修改托管协议草案。托管协议以中国证监会注册的文本为正式文本。</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（二）本协议自《基金合同》成立之日起成立，自</w:t>
      </w:r>
      <w:r>
        <w:rPr>
          <w:rFonts w:hint="eastAsia" w:ascii="宋体" w:hAnsi="Calibri" w:cs="宋体"/>
          <w:color w:val="000000" w:themeColor="text1"/>
          <w:kern w:val="0"/>
          <w:szCs w:val="21"/>
          <w14:textFill>
            <w14:solidFill>
              <w14:schemeClr w14:val="tx1"/>
            </w14:solidFill>
          </w14:textFill>
        </w:rPr>
        <w:t>《基金合同》</w:t>
      </w:r>
      <w:r>
        <w:rPr>
          <w:rFonts w:hint="eastAsia"/>
          <w:color w:val="000000" w:themeColor="text1"/>
          <w:szCs w:val="21"/>
          <w14:textFill>
            <w14:solidFill>
              <w14:schemeClr w14:val="tx1"/>
            </w14:solidFill>
          </w14:textFill>
        </w:rPr>
        <w:t>生效之日起生效，与</w:t>
      </w:r>
      <w:r>
        <w:rPr>
          <w:rFonts w:hint="eastAsia" w:ascii="宋体" w:hAnsi="Calibri" w:cs="宋体"/>
          <w:color w:val="000000" w:themeColor="text1"/>
          <w:kern w:val="0"/>
          <w:szCs w:val="21"/>
          <w14:textFill>
            <w14:solidFill>
              <w14:schemeClr w14:val="tx1"/>
            </w14:solidFill>
          </w14:textFill>
        </w:rPr>
        <w:t>《基金合同》</w:t>
      </w:r>
      <w:r>
        <w:rPr>
          <w:rFonts w:hint="eastAsia"/>
          <w:color w:val="000000" w:themeColor="text1"/>
          <w:szCs w:val="21"/>
          <w14:textFill>
            <w14:solidFill>
              <w14:schemeClr w14:val="tx1"/>
            </w14:solidFill>
          </w14:textFill>
        </w:rPr>
        <w:t>具有同等法律效力。本协议的有效期自其生效之日起至基金财产清算结果报中国证监会备案并公告之日止。</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（三）本协议自生效之日起对双方当事人具有同等的法律约束力。</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（四）本协议正本一式</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份，协议双方各执</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份，上报有关监管部门</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份，每份具有同等法律效力。</w:t>
      </w:r>
    </w:p>
    <w:p>
      <w:pPr>
        <w:pStyle w:val="2"/>
        <w:numPr>
          <w:ilvl w:val="0"/>
          <w:numId w:val="1"/>
        </w:numPr>
        <w:spacing w:before="120" w:after="120" w:line="360" w:lineRule="auto"/>
        <w:jc w:val="center"/>
        <w:rPr>
          <w:b w:val="0"/>
          <w:color w:val="000000" w:themeColor="text1"/>
          <w:sz w:val="24"/>
          <w:szCs w:val="24"/>
          <w14:textFill>
            <w14:solidFill>
              <w14:schemeClr w14:val="tx1"/>
            </w14:solidFill>
          </w14:textFill>
        </w:rPr>
      </w:pPr>
      <w:bookmarkStart w:id="44" w:name="_Toc170895830"/>
      <w:bookmarkStart w:id="45" w:name="_Toc394474015"/>
      <w:r>
        <w:rPr>
          <w:rFonts w:hint="eastAsia"/>
          <w:color w:val="000000" w:themeColor="text1"/>
          <w:sz w:val="24"/>
          <w:szCs w:val="24"/>
          <w14:textFill>
            <w14:solidFill>
              <w14:schemeClr w14:val="tx1"/>
            </w14:solidFill>
          </w14:textFill>
        </w:rPr>
        <w:t>托管协议的签订</w:t>
      </w:r>
      <w:bookmarkEnd w:id="44"/>
      <w:bookmarkEnd w:id="45"/>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本托管协议经基金管理人和基金托管人认可后，由该双方当事人在基金托管协议上盖章，并由各自的法定代表人或授权代表签名或盖章，并注明基金托管协议的签订地点和签订日期。</w:t>
      </w:r>
    </w:p>
    <w:p>
      <w:pPr>
        <w:widowControl/>
        <w:rPr>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p>
    <w:p>
      <w:pPr>
        <w:pStyle w:val="31"/>
        <w:ind w:firstLine="480"/>
        <w:rPr>
          <w:color w:val="000000"/>
        </w:rPr>
      </w:pPr>
      <w:r>
        <w:rPr>
          <w:color w:val="000000"/>
        </w:rPr>
        <w:t>本页无正文，为《</w:t>
      </w:r>
      <w:r>
        <w:rPr>
          <w:rFonts w:hint="eastAsia"/>
          <w:color w:val="000000"/>
        </w:rPr>
        <w:t>招商中证A50交易型开放式指数证券投资基金发起式联接基金托管</w:t>
      </w:r>
      <w:r>
        <w:rPr>
          <w:color w:val="000000"/>
        </w:rPr>
        <w:t>协议（草案）》的签名盖章页。</w:t>
      </w:r>
    </w:p>
    <w:p>
      <w:pPr>
        <w:pStyle w:val="31"/>
        <w:ind w:firstLine="480"/>
        <w:rPr>
          <w:color w:val="000000"/>
        </w:rPr>
      </w:pPr>
    </w:p>
    <w:p>
      <w:pPr>
        <w:pStyle w:val="31"/>
        <w:ind w:firstLine="480"/>
        <w:rPr>
          <w:color w:val="000000"/>
        </w:rPr>
      </w:pPr>
    </w:p>
    <w:p>
      <w:pPr>
        <w:pStyle w:val="31"/>
        <w:ind w:firstLine="480"/>
        <w:rPr>
          <w:color w:val="000000"/>
        </w:rPr>
      </w:pPr>
    </w:p>
    <w:p>
      <w:pPr>
        <w:pStyle w:val="31"/>
        <w:ind w:firstLine="480"/>
        <w:rPr>
          <w:color w:val="000000"/>
        </w:rPr>
      </w:pPr>
    </w:p>
    <w:p>
      <w:pPr>
        <w:pStyle w:val="31"/>
        <w:ind w:firstLine="480"/>
        <w:rPr>
          <w:color w:val="000000"/>
        </w:rPr>
      </w:pPr>
      <w:r>
        <w:rPr>
          <w:color w:val="000000"/>
        </w:rPr>
        <w:t>基金管理人：</w:t>
      </w:r>
      <w:r>
        <w:rPr>
          <w:rFonts w:hint="eastAsia"/>
          <w:color w:val="000000"/>
        </w:rPr>
        <w:t>招商</w:t>
      </w:r>
      <w:r>
        <w:rPr>
          <w:color w:val="000000"/>
        </w:rPr>
        <w:t>基金管理有限公司（</w:t>
      </w:r>
      <w:r>
        <w:rPr>
          <w:rFonts w:hint="eastAsia"/>
          <w:color w:val="000000"/>
        </w:rPr>
        <w:t>盖章</w:t>
      </w:r>
      <w:r>
        <w:rPr>
          <w:color w:val="000000"/>
        </w:rPr>
        <w:t>）</w:t>
      </w:r>
    </w:p>
    <w:p>
      <w:pPr>
        <w:pStyle w:val="31"/>
        <w:ind w:firstLine="480"/>
        <w:rPr>
          <w:color w:val="000000"/>
        </w:rPr>
      </w:pPr>
    </w:p>
    <w:p>
      <w:pPr>
        <w:pStyle w:val="31"/>
        <w:ind w:firstLine="480"/>
        <w:rPr>
          <w:color w:val="000000"/>
        </w:rPr>
      </w:pPr>
    </w:p>
    <w:p>
      <w:pPr>
        <w:pStyle w:val="31"/>
        <w:ind w:firstLine="480"/>
        <w:rPr>
          <w:color w:val="000000"/>
        </w:rPr>
      </w:pPr>
    </w:p>
    <w:p>
      <w:pPr>
        <w:pStyle w:val="31"/>
        <w:ind w:firstLine="480"/>
        <w:rPr>
          <w:color w:val="000000"/>
        </w:rPr>
      </w:pPr>
    </w:p>
    <w:p>
      <w:pPr>
        <w:pStyle w:val="31"/>
        <w:ind w:firstLine="480"/>
        <w:rPr>
          <w:color w:val="000000"/>
        </w:rPr>
      </w:pPr>
      <w:r>
        <w:rPr>
          <w:color w:val="000000"/>
        </w:rPr>
        <w:t>法定代表人或授权代表</w:t>
      </w:r>
      <w:r>
        <w:rPr>
          <w:rFonts w:hint="eastAsia"/>
          <w:color w:val="000000"/>
        </w:rPr>
        <w:t>（签名或盖章）</w:t>
      </w:r>
      <w:r>
        <w:rPr>
          <w:color w:val="000000"/>
        </w:rPr>
        <w:t>：</w:t>
      </w:r>
    </w:p>
    <w:p>
      <w:pPr>
        <w:pStyle w:val="31"/>
        <w:ind w:firstLine="480"/>
        <w:rPr>
          <w:color w:val="000000"/>
        </w:rPr>
      </w:pPr>
    </w:p>
    <w:p>
      <w:pPr>
        <w:pStyle w:val="31"/>
        <w:ind w:firstLine="480"/>
        <w:rPr>
          <w:color w:val="000000"/>
        </w:rPr>
      </w:pPr>
    </w:p>
    <w:p>
      <w:pPr>
        <w:pStyle w:val="31"/>
        <w:ind w:firstLine="480"/>
        <w:rPr>
          <w:color w:val="000000"/>
        </w:rPr>
      </w:pPr>
    </w:p>
    <w:p>
      <w:pPr>
        <w:pStyle w:val="31"/>
        <w:ind w:firstLine="480"/>
        <w:rPr>
          <w:color w:val="000000"/>
        </w:rPr>
      </w:pPr>
    </w:p>
    <w:p>
      <w:pPr>
        <w:pStyle w:val="31"/>
        <w:ind w:firstLine="480"/>
        <w:rPr>
          <w:color w:val="000000"/>
        </w:rPr>
      </w:pPr>
      <w:r>
        <w:rPr>
          <w:color w:val="000000"/>
        </w:rPr>
        <w:t>基金托管人：</w:t>
      </w:r>
      <w:r>
        <w:rPr>
          <w:rFonts w:hint="eastAsia"/>
          <w:color w:val="000000" w:themeColor="text1"/>
          <w14:textFill>
            <w14:solidFill>
              <w14:schemeClr w14:val="tx1"/>
            </w14:solidFill>
          </w14:textFill>
        </w:rPr>
        <w:t>中国建设银行股份有限公司</w:t>
      </w:r>
      <w:r>
        <w:rPr>
          <w:color w:val="000000"/>
        </w:rPr>
        <w:t>（</w:t>
      </w:r>
      <w:r>
        <w:rPr>
          <w:rFonts w:hint="eastAsia"/>
          <w:color w:val="000000"/>
        </w:rPr>
        <w:t>盖章</w:t>
      </w:r>
      <w:r>
        <w:rPr>
          <w:color w:val="000000"/>
        </w:rPr>
        <w:t>）</w:t>
      </w:r>
    </w:p>
    <w:p>
      <w:pPr>
        <w:pStyle w:val="31"/>
        <w:ind w:firstLine="480"/>
        <w:rPr>
          <w:color w:val="000000"/>
        </w:rPr>
      </w:pPr>
    </w:p>
    <w:p>
      <w:pPr>
        <w:pStyle w:val="31"/>
        <w:ind w:firstLine="480"/>
        <w:rPr>
          <w:color w:val="000000"/>
        </w:rPr>
      </w:pPr>
    </w:p>
    <w:p>
      <w:pPr>
        <w:pStyle w:val="31"/>
        <w:ind w:firstLine="480"/>
        <w:rPr>
          <w:color w:val="000000"/>
        </w:rPr>
      </w:pPr>
    </w:p>
    <w:p>
      <w:pPr>
        <w:pStyle w:val="31"/>
        <w:ind w:firstLine="480"/>
        <w:rPr>
          <w:color w:val="000000"/>
        </w:rPr>
      </w:pPr>
    </w:p>
    <w:p>
      <w:pPr>
        <w:pStyle w:val="31"/>
        <w:ind w:firstLine="480"/>
        <w:rPr>
          <w:color w:val="000000"/>
        </w:rPr>
      </w:pPr>
      <w:r>
        <w:rPr>
          <w:color w:val="000000"/>
        </w:rPr>
        <w:t>法定代表人或授权代表</w:t>
      </w:r>
      <w:r>
        <w:rPr>
          <w:rFonts w:hint="eastAsia"/>
          <w:color w:val="000000"/>
        </w:rPr>
        <w:t>（签名或盖章）</w:t>
      </w:r>
      <w:r>
        <w:rPr>
          <w:color w:val="000000"/>
        </w:rPr>
        <w:t>：</w:t>
      </w:r>
    </w:p>
    <w:p>
      <w:pPr>
        <w:pStyle w:val="31"/>
        <w:ind w:firstLine="480"/>
        <w:rPr>
          <w:color w:val="000000"/>
        </w:rPr>
      </w:pPr>
    </w:p>
    <w:p>
      <w:pPr>
        <w:pStyle w:val="31"/>
        <w:ind w:firstLine="480"/>
        <w:rPr>
          <w:color w:val="000000"/>
        </w:rPr>
      </w:pPr>
    </w:p>
    <w:p>
      <w:pPr>
        <w:pStyle w:val="31"/>
        <w:ind w:firstLine="480"/>
        <w:rPr>
          <w:color w:val="000000"/>
        </w:rPr>
      </w:pPr>
    </w:p>
    <w:p>
      <w:pPr>
        <w:pStyle w:val="31"/>
        <w:ind w:firstLine="480"/>
        <w:rPr>
          <w:color w:val="000000"/>
        </w:rPr>
      </w:pPr>
    </w:p>
    <w:p>
      <w:pPr>
        <w:pStyle w:val="31"/>
        <w:ind w:firstLine="480"/>
        <w:rPr>
          <w:color w:val="000000"/>
        </w:rPr>
      </w:pPr>
      <w:r>
        <w:rPr>
          <w:color w:val="000000"/>
        </w:rPr>
        <w:t>签订地点：</w:t>
      </w:r>
    </w:p>
    <w:p>
      <w:pPr>
        <w:pStyle w:val="31"/>
        <w:ind w:firstLine="480"/>
        <w:rPr>
          <w:color w:val="000000"/>
        </w:rPr>
      </w:pPr>
      <w:r>
        <w:rPr>
          <w:color w:val="000000"/>
        </w:rPr>
        <w:t>签订日期：</w:t>
      </w:r>
      <w:r>
        <w:rPr>
          <w:rFonts w:hint="eastAsia"/>
          <w:color w:val="000000"/>
        </w:rPr>
        <w:t xml:space="preserve"> </w:t>
      </w:r>
      <w:r>
        <w:rPr>
          <w:color w:val="000000"/>
        </w:rPr>
        <w:t xml:space="preserve">   年    月     日</w:t>
      </w:r>
    </w:p>
    <w:p>
      <w:pPr>
        <w:spacing w:line="360" w:lineRule="auto"/>
        <w:ind w:firstLine="420" w:firstLineChars="200"/>
        <w:rPr>
          <w:color w:val="000000" w:themeColor="text1"/>
          <w14:textFill>
            <w14:solidFill>
              <w14:schemeClr w14:val="tx1"/>
            </w14:solidFill>
          </w14:textFill>
        </w:rPr>
      </w:pPr>
    </w:p>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粗仿宋">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0866400"/>
    </w:sdtPr>
    <w:sdtContent>
      <w:p>
        <w:pPr>
          <w:pStyle w:val="8"/>
          <w:jc w:val="center"/>
        </w:pPr>
        <w:r>
          <w:rPr>
            <w:rFonts w:hint="eastAsia"/>
          </w:rPr>
          <w:t>4-</w:t>
        </w:r>
        <w:r>
          <w:fldChar w:fldCharType="begin"/>
        </w:r>
        <w:r>
          <w:instrText xml:space="preserve">PAGE   \* MERGEFORMAT</w:instrText>
        </w:r>
        <w:r>
          <w:fldChar w:fldCharType="separate"/>
        </w:r>
        <w:r>
          <w:rPr>
            <w:lang w:val="zh-CN"/>
          </w:rPr>
          <w:t>9</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eastAsia"/>
      </w:rPr>
      <w:t>招商中证A50交易型开放式指数证券投资基金发起式联接基金托管协议（草案）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eastAsia"/>
        <w:color w:val="000000" w:themeColor="text1"/>
        <w14:textFill>
          <w14:solidFill>
            <w14:schemeClr w14:val="tx1"/>
          </w14:solidFill>
        </w14:textFill>
      </w:rPr>
      <w:t>招商中证A50交易型开放式指数证券投资基金发起式联接基金</w:t>
    </w:r>
    <w:r>
      <w:rPr>
        <w:rFonts w:hint="eastAsia"/>
      </w:rPr>
      <w:t>托管协议（草案）</w:t>
    </w:r>
  </w:p>
  <w:p>
    <w:pPr>
      <w:pStyle w:val="9"/>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74246B"/>
    <w:multiLevelType w:val="multilevel"/>
    <w:tmpl w:val="4574246B"/>
    <w:lvl w:ilvl="0" w:tentative="0">
      <w:start w:val="1"/>
      <w:numFmt w:val="japaneseCounting"/>
      <w:lvlText w:val="%1、"/>
      <w:lvlJc w:val="left"/>
      <w:pPr>
        <w:ind w:left="450" w:hanging="450"/>
      </w:pPr>
      <w:rPr>
        <w:rFonts w:hint="default"/>
        <w:b/>
        <w:sz w:val="24"/>
        <w:szCs w:val="24"/>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3723742"/>
    <w:multiLevelType w:val="multilevel"/>
    <w:tmpl w:val="73723742"/>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F8F"/>
    <w:rsid w:val="00012534"/>
    <w:rsid w:val="00014D14"/>
    <w:rsid w:val="0002060B"/>
    <w:rsid w:val="00022161"/>
    <w:rsid w:val="00024600"/>
    <w:rsid w:val="00025271"/>
    <w:rsid w:val="00025E69"/>
    <w:rsid w:val="000313FC"/>
    <w:rsid w:val="00032CD9"/>
    <w:rsid w:val="00035D21"/>
    <w:rsid w:val="00040CCE"/>
    <w:rsid w:val="000422EC"/>
    <w:rsid w:val="00042E98"/>
    <w:rsid w:val="000448D9"/>
    <w:rsid w:val="00046C60"/>
    <w:rsid w:val="00047A8B"/>
    <w:rsid w:val="00050031"/>
    <w:rsid w:val="00052424"/>
    <w:rsid w:val="00056B31"/>
    <w:rsid w:val="00062CB6"/>
    <w:rsid w:val="00062FF4"/>
    <w:rsid w:val="00063329"/>
    <w:rsid w:val="00066266"/>
    <w:rsid w:val="0006711D"/>
    <w:rsid w:val="0007036F"/>
    <w:rsid w:val="00070820"/>
    <w:rsid w:val="000716CC"/>
    <w:rsid w:val="000718F9"/>
    <w:rsid w:val="00077013"/>
    <w:rsid w:val="00083A51"/>
    <w:rsid w:val="00086495"/>
    <w:rsid w:val="00090A1D"/>
    <w:rsid w:val="0009101B"/>
    <w:rsid w:val="0009105A"/>
    <w:rsid w:val="00097E25"/>
    <w:rsid w:val="00097F0A"/>
    <w:rsid w:val="000A017E"/>
    <w:rsid w:val="000A24EC"/>
    <w:rsid w:val="000A2699"/>
    <w:rsid w:val="000A366C"/>
    <w:rsid w:val="000B09EF"/>
    <w:rsid w:val="000B25CC"/>
    <w:rsid w:val="000B39A8"/>
    <w:rsid w:val="000B5195"/>
    <w:rsid w:val="000B7458"/>
    <w:rsid w:val="000C2B2E"/>
    <w:rsid w:val="000C3175"/>
    <w:rsid w:val="000C490A"/>
    <w:rsid w:val="000C5F3E"/>
    <w:rsid w:val="000C6A36"/>
    <w:rsid w:val="000D29A6"/>
    <w:rsid w:val="000D3D26"/>
    <w:rsid w:val="000E305A"/>
    <w:rsid w:val="000E408F"/>
    <w:rsid w:val="001079A0"/>
    <w:rsid w:val="00112D3A"/>
    <w:rsid w:val="001139B7"/>
    <w:rsid w:val="00115B89"/>
    <w:rsid w:val="00122927"/>
    <w:rsid w:val="00122B88"/>
    <w:rsid w:val="001307AF"/>
    <w:rsid w:val="00133A3D"/>
    <w:rsid w:val="00136C7E"/>
    <w:rsid w:val="00136F8A"/>
    <w:rsid w:val="001438C2"/>
    <w:rsid w:val="0014435B"/>
    <w:rsid w:val="00144E6F"/>
    <w:rsid w:val="00145C39"/>
    <w:rsid w:val="00145D34"/>
    <w:rsid w:val="00154202"/>
    <w:rsid w:val="00155B31"/>
    <w:rsid w:val="0015665D"/>
    <w:rsid w:val="00157EAD"/>
    <w:rsid w:val="00162A6B"/>
    <w:rsid w:val="0017449A"/>
    <w:rsid w:val="001823FB"/>
    <w:rsid w:val="00184051"/>
    <w:rsid w:val="001858C9"/>
    <w:rsid w:val="00186CA1"/>
    <w:rsid w:val="00193A2E"/>
    <w:rsid w:val="00194DBC"/>
    <w:rsid w:val="00195F80"/>
    <w:rsid w:val="0019637B"/>
    <w:rsid w:val="001A0251"/>
    <w:rsid w:val="001A5516"/>
    <w:rsid w:val="001B04B0"/>
    <w:rsid w:val="001B4ED1"/>
    <w:rsid w:val="001B7A00"/>
    <w:rsid w:val="001C51A0"/>
    <w:rsid w:val="001C542D"/>
    <w:rsid w:val="001D78A6"/>
    <w:rsid w:val="001E0E95"/>
    <w:rsid w:val="001F182C"/>
    <w:rsid w:val="001F344D"/>
    <w:rsid w:val="0020684B"/>
    <w:rsid w:val="00215E0B"/>
    <w:rsid w:val="00220534"/>
    <w:rsid w:val="00224DBC"/>
    <w:rsid w:val="00226D59"/>
    <w:rsid w:val="00227CDE"/>
    <w:rsid w:val="00230462"/>
    <w:rsid w:val="00230CB7"/>
    <w:rsid w:val="00232166"/>
    <w:rsid w:val="002361D9"/>
    <w:rsid w:val="002411D0"/>
    <w:rsid w:val="002418DD"/>
    <w:rsid w:val="00241F52"/>
    <w:rsid w:val="0024370F"/>
    <w:rsid w:val="00246FF5"/>
    <w:rsid w:val="002565E5"/>
    <w:rsid w:val="002603B3"/>
    <w:rsid w:val="002621C0"/>
    <w:rsid w:val="00264015"/>
    <w:rsid w:val="00264340"/>
    <w:rsid w:val="002714E3"/>
    <w:rsid w:val="00273E56"/>
    <w:rsid w:val="00282826"/>
    <w:rsid w:val="002834E1"/>
    <w:rsid w:val="00284811"/>
    <w:rsid w:val="00285EA0"/>
    <w:rsid w:val="00293757"/>
    <w:rsid w:val="00294041"/>
    <w:rsid w:val="0029495F"/>
    <w:rsid w:val="00294A58"/>
    <w:rsid w:val="002A1E40"/>
    <w:rsid w:val="002A4616"/>
    <w:rsid w:val="002A4883"/>
    <w:rsid w:val="002A52CB"/>
    <w:rsid w:val="002A7AD0"/>
    <w:rsid w:val="002B251B"/>
    <w:rsid w:val="002B6DCE"/>
    <w:rsid w:val="002C2D06"/>
    <w:rsid w:val="002D3BF9"/>
    <w:rsid w:val="002E00FC"/>
    <w:rsid w:val="002E510C"/>
    <w:rsid w:val="002E6FFB"/>
    <w:rsid w:val="002E74B7"/>
    <w:rsid w:val="002F25FE"/>
    <w:rsid w:val="002F718E"/>
    <w:rsid w:val="003029C2"/>
    <w:rsid w:val="003034F5"/>
    <w:rsid w:val="00304351"/>
    <w:rsid w:val="0030529E"/>
    <w:rsid w:val="003119D4"/>
    <w:rsid w:val="003165D0"/>
    <w:rsid w:val="00322A58"/>
    <w:rsid w:val="00323EDF"/>
    <w:rsid w:val="00324517"/>
    <w:rsid w:val="00327AA2"/>
    <w:rsid w:val="00330615"/>
    <w:rsid w:val="00332736"/>
    <w:rsid w:val="003340AB"/>
    <w:rsid w:val="00334DA4"/>
    <w:rsid w:val="00342806"/>
    <w:rsid w:val="0034516C"/>
    <w:rsid w:val="0034787F"/>
    <w:rsid w:val="003508E9"/>
    <w:rsid w:val="003609CA"/>
    <w:rsid w:val="00360EBB"/>
    <w:rsid w:val="0036738F"/>
    <w:rsid w:val="0036776B"/>
    <w:rsid w:val="0037175E"/>
    <w:rsid w:val="0038006F"/>
    <w:rsid w:val="00381ABA"/>
    <w:rsid w:val="00382E11"/>
    <w:rsid w:val="00382FD5"/>
    <w:rsid w:val="00386E78"/>
    <w:rsid w:val="003946FA"/>
    <w:rsid w:val="00396608"/>
    <w:rsid w:val="003A0B92"/>
    <w:rsid w:val="003A39B7"/>
    <w:rsid w:val="003A6776"/>
    <w:rsid w:val="003A6908"/>
    <w:rsid w:val="003B0B7D"/>
    <w:rsid w:val="003B331E"/>
    <w:rsid w:val="003B70D8"/>
    <w:rsid w:val="003B7545"/>
    <w:rsid w:val="003C06A2"/>
    <w:rsid w:val="003C1F04"/>
    <w:rsid w:val="003C38DB"/>
    <w:rsid w:val="003C7645"/>
    <w:rsid w:val="003D168F"/>
    <w:rsid w:val="003D74F8"/>
    <w:rsid w:val="003E0C06"/>
    <w:rsid w:val="003E4F5F"/>
    <w:rsid w:val="003E7BCF"/>
    <w:rsid w:val="003F09A4"/>
    <w:rsid w:val="003F5378"/>
    <w:rsid w:val="003F73DB"/>
    <w:rsid w:val="00402D79"/>
    <w:rsid w:val="00413403"/>
    <w:rsid w:val="00413806"/>
    <w:rsid w:val="00416C85"/>
    <w:rsid w:val="00417C24"/>
    <w:rsid w:val="00421376"/>
    <w:rsid w:val="00422F9C"/>
    <w:rsid w:val="004261EE"/>
    <w:rsid w:val="00427C9E"/>
    <w:rsid w:val="00430621"/>
    <w:rsid w:val="00431375"/>
    <w:rsid w:val="004356A6"/>
    <w:rsid w:val="004366BE"/>
    <w:rsid w:val="00443E9F"/>
    <w:rsid w:val="00451FB1"/>
    <w:rsid w:val="00457753"/>
    <w:rsid w:val="00460685"/>
    <w:rsid w:val="00462160"/>
    <w:rsid w:val="0046331F"/>
    <w:rsid w:val="00465D36"/>
    <w:rsid w:val="00476A2A"/>
    <w:rsid w:val="00477483"/>
    <w:rsid w:val="0048129B"/>
    <w:rsid w:val="004821DC"/>
    <w:rsid w:val="00485D3C"/>
    <w:rsid w:val="00492435"/>
    <w:rsid w:val="004A0672"/>
    <w:rsid w:val="004A4019"/>
    <w:rsid w:val="004A4DAB"/>
    <w:rsid w:val="004B2D20"/>
    <w:rsid w:val="004C0044"/>
    <w:rsid w:val="004C277D"/>
    <w:rsid w:val="004C6A85"/>
    <w:rsid w:val="004E4C10"/>
    <w:rsid w:val="004F0068"/>
    <w:rsid w:val="004F4798"/>
    <w:rsid w:val="004F4AFA"/>
    <w:rsid w:val="004F54F2"/>
    <w:rsid w:val="004F5934"/>
    <w:rsid w:val="0050019D"/>
    <w:rsid w:val="00500C23"/>
    <w:rsid w:val="00503A1D"/>
    <w:rsid w:val="005040DE"/>
    <w:rsid w:val="0050467F"/>
    <w:rsid w:val="0050670F"/>
    <w:rsid w:val="00506B28"/>
    <w:rsid w:val="00507FE4"/>
    <w:rsid w:val="005107DD"/>
    <w:rsid w:val="005126C7"/>
    <w:rsid w:val="00515C6A"/>
    <w:rsid w:val="00517317"/>
    <w:rsid w:val="00517EDF"/>
    <w:rsid w:val="00521099"/>
    <w:rsid w:val="00522BD6"/>
    <w:rsid w:val="00530252"/>
    <w:rsid w:val="005352B1"/>
    <w:rsid w:val="0054150A"/>
    <w:rsid w:val="005524B9"/>
    <w:rsid w:val="00556A10"/>
    <w:rsid w:val="0055796D"/>
    <w:rsid w:val="00561887"/>
    <w:rsid w:val="0056409C"/>
    <w:rsid w:val="00564C2B"/>
    <w:rsid w:val="005846B2"/>
    <w:rsid w:val="00585735"/>
    <w:rsid w:val="005875AB"/>
    <w:rsid w:val="005904DD"/>
    <w:rsid w:val="0059262B"/>
    <w:rsid w:val="005A0AB9"/>
    <w:rsid w:val="005A6547"/>
    <w:rsid w:val="005A745B"/>
    <w:rsid w:val="005C0642"/>
    <w:rsid w:val="005C1549"/>
    <w:rsid w:val="005C186B"/>
    <w:rsid w:val="005C3179"/>
    <w:rsid w:val="005C79F3"/>
    <w:rsid w:val="005D1100"/>
    <w:rsid w:val="005D263F"/>
    <w:rsid w:val="005D65EA"/>
    <w:rsid w:val="005E4A16"/>
    <w:rsid w:val="005E5D39"/>
    <w:rsid w:val="005E70B2"/>
    <w:rsid w:val="005F79B3"/>
    <w:rsid w:val="0060325F"/>
    <w:rsid w:val="006035EA"/>
    <w:rsid w:val="00605FD0"/>
    <w:rsid w:val="00611A95"/>
    <w:rsid w:val="00613160"/>
    <w:rsid w:val="006155F0"/>
    <w:rsid w:val="00622BBF"/>
    <w:rsid w:val="0062554C"/>
    <w:rsid w:val="006409E5"/>
    <w:rsid w:val="00653B36"/>
    <w:rsid w:val="006540FC"/>
    <w:rsid w:val="00654A64"/>
    <w:rsid w:val="00671371"/>
    <w:rsid w:val="006726E3"/>
    <w:rsid w:val="006920D1"/>
    <w:rsid w:val="0069581D"/>
    <w:rsid w:val="006A7DAD"/>
    <w:rsid w:val="006B7701"/>
    <w:rsid w:val="006C394A"/>
    <w:rsid w:val="006C6BFB"/>
    <w:rsid w:val="006D243D"/>
    <w:rsid w:val="006D7AD2"/>
    <w:rsid w:val="006E4BD2"/>
    <w:rsid w:val="006E643E"/>
    <w:rsid w:val="006E76C5"/>
    <w:rsid w:val="006F141E"/>
    <w:rsid w:val="006F1A26"/>
    <w:rsid w:val="006F2AC3"/>
    <w:rsid w:val="006F5A12"/>
    <w:rsid w:val="006F7FC0"/>
    <w:rsid w:val="00700ED3"/>
    <w:rsid w:val="007011F6"/>
    <w:rsid w:val="007020B5"/>
    <w:rsid w:val="0071155F"/>
    <w:rsid w:val="007135A5"/>
    <w:rsid w:val="00714E0B"/>
    <w:rsid w:val="00730574"/>
    <w:rsid w:val="00731435"/>
    <w:rsid w:val="00743C40"/>
    <w:rsid w:val="00747725"/>
    <w:rsid w:val="00752301"/>
    <w:rsid w:val="00752B35"/>
    <w:rsid w:val="007546E4"/>
    <w:rsid w:val="00763E5F"/>
    <w:rsid w:val="00772169"/>
    <w:rsid w:val="0077423B"/>
    <w:rsid w:val="00777411"/>
    <w:rsid w:val="007970BB"/>
    <w:rsid w:val="007A2C0A"/>
    <w:rsid w:val="007B058B"/>
    <w:rsid w:val="007B368E"/>
    <w:rsid w:val="007B6B1F"/>
    <w:rsid w:val="007B6BDF"/>
    <w:rsid w:val="007B7F69"/>
    <w:rsid w:val="007D4917"/>
    <w:rsid w:val="007E514D"/>
    <w:rsid w:val="007E59F7"/>
    <w:rsid w:val="007E7A56"/>
    <w:rsid w:val="007E7B09"/>
    <w:rsid w:val="007F4D16"/>
    <w:rsid w:val="007F4F16"/>
    <w:rsid w:val="007F6809"/>
    <w:rsid w:val="00806E8A"/>
    <w:rsid w:val="008137F8"/>
    <w:rsid w:val="00815043"/>
    <w:rsid w:val="00816655"/>
    <w:rsid w:val="008175CA"/>
    <w:rsid w:val="00821A08"/>
    <w:rsid w:val="008304BB"/>
    <w:rsid w:val="00835E52"/>
    <w:rsid w:val="00842A0B"/>
    <w:rsid w:val="008473CF"/>
    <w:rsid w:val="00850121"/>
    <w:rsid w:val="008528E8"/>
    <w:rsid w:val="00852FC5"/>
    <w:rsid w:val="008660CE"/>
    <w:rsid w:val="008711AA"/>
    <w:rsid w:val="00890133"/>
    <w:rsid w:val="008916FE"/>
    <w:rsid w:val="008960CA"/>
    <w:rsid w:val="008A252E"/>
    <w:rsid w:val="008A75E1"/>
    <w:rsid w:val="008B0DC2"/>
    <w:rsid w:val="008B141F"/>
    <w:rsid w:val="008B1C9F"/>
    <w:rsid w:val="008B317E"/>
    <w:rsid w:val="008B465C"/>
    <w:rsid w:val="008B5C3F"/>
    <w:rsid w:val="008B7A8B"/>
    <w:rsid w:val="008D004F"/>
    <w:rsid w:val="008E6D6A"/>
    <w:rsid w:val="008F2E88"/>
    <w:rsid w:val="00902995"/>
    <w:rsid w:val="00903B24"/>
    <w:rsid w:val="0090459E"/>
    <w:rsid w:val="0090543D"/>
    <w:rsid w:val="00914AED"/>
    <w:rsid w:val="009170C6"/>
    <w:rsid w:val="009342BD"/>
    <w:rsid w:val="00937C23"/>
    <w:rsid w:val="00941FD1"/>
    <w:rsid w:val="00943EC9"/>
    <w:rsid w:val="009455D0"/>
    <w:rsid w:val="00945785"/>
    <w:rsid w:val="0094760A"/>
    <w:rsid w:val="009506CB"/>
    <w:rsid w:val="00951C17"/>
    <w:rsid w:val="0095282A"/>
    <w:rsid w:val="00954A8A"/>
    <w:rsid w:val="0095741A"/>
    <w:rsid w:val="00960CF4"/>
    <w:rsid w:val="00962AEF"/>
    <w:rsid w:val="00963564"/>
    <w:rsid w:val="00964E4F"/>
    <w:rsid w:val="009664A1"/>
    <w:rsid w:val="0097015F"/>
    <w:rsid w:val="00971561"/>
    <w:rsid w:val="00974B86"/>
    <w:rsid w:val="00981351"/>
    <w:rsid w:val="009855C6"/>
    <w:rsid w:val="00993953"/>
    <w:rsid w:val="009A1494"/>
    <w:rsid w:val="009A47CE"/>
    <w:rsid w:val="009B748C"/>
    <w:rsid w:val="009C21A8"/>
    <w:rsid w:val="009D1D80"/>
    <w:rsid w:val="009D4A5E"/>
    <w:rsid w:val="009D52D9"/>
    <w:rsid w:val="009E3F64"/>
    <w:rsid w:val="009E5192"/>
    <w:rsid w:val="009E589F"/>
    <w:rsid w:val="009F1E3C"/>
    <w:rsid w:val="00A032F1"/>
    <w:rsid w:val="00A0461C"/>
    <w:rsid w:val="00A12B3D"/>
    <w:rsid w:val="00A17E23"/>
    <w:rsid w:val="00A21586"/>
    <w:rsid w:val="00A2611D"/>
    <w:rsid w:val="00A270D6"/>
    <w:rsid w:val="00A31552"/>
    <w:rsid w:val="00A31698"/>
    <w:rsid w:val="00A342DE"/>
    <w:rsid w:val="00A44C4E"/>
    <w:rsid w:val="00A464AB"/>
    <w:rsid w:val="00A70916"/>
    <w:rsid w:val="00A74092"/>
    <w:rsid w:val="00A74D6A"/>
    <w:rsid w:val="00A766E1"/>
    <w:rsid w:val="00A82352"/>
    <w:rsid w:val="00A82AE1"/>
    <w:rsid w:val="00A840B0"/>
    <w:rsid w:val="00A87D28"/>
    <w:rsid w:val="00A95B1F"/>
    <w:rsid w:val="00A9797A"/>
    <w:rsid w:val="00AA0AFD"/>
    <w:rsid w:val="00AA114C"/>
    <w:rsid w:val="00AA3341"/>
    <w:rsid w:val="00AA6288"/>
    <w:rsid w:val="00AA6D76"/>
    <w:rsid w:val="00AA73E3"/>
    <w:rsid w:val="00AB0494"/>
    <w:rsid w:val="00AC0A60"/>
    <w:rsid w:val="00AC0BF8"/>
    <w:rsid w:val="00AC7127"/>
    <w:rsid w:val="00AD3CF1"/>
    <w:rsid w:val="00AE2891"/>
    <w:rsid w:val="00AE3DDF"/>
    <w:rsid w:val="00AE6669"/>
    <w:rsid w:val="00AF54A3"/>
    <w:rsid w:val="00B01232"/>
    <w:rsid w:val="00B042D1"/>
    <w:rsid w:val="00B0640E"/>
    <w:rsid w:val="00B111EE"/>
    <w:rsid w:val="00B15613"/>
    <w:rsid w:val="00B2031B"/>
    <w:rsid w:val="00B31AE4"/>
    <w:rsid w:val="00B32F25"/>
    <w:rsid w:val="00B37510"/>
    <w:rsid w:val="00B423E7"/>
    <w:rsid w:val="00B424E4"/>
    <w:rsid w:val="00B43196"/>
    <w:rsid w:val="00B443E7"/>
    <w:rsid w:val="00B45F39"/>
    <w:rsid w:val="00B5439A"/>
    <w:rsid w:val="00B56272"/>
    <w:rsid w:val="00B60EF9"/>
    <w:rsid w:val="00B63E4C"/>
    <w:rsid w:val="00B73619"/>
    <w:rsid w:val="00B75E8D"/>
    <w:rsid w:val="00B81C37"/>
    <w:rsid w:val="00B83709"/>
    <w:rsid w:val="00B870B8"/>
    <w:rsid w:val="00B876C2"/>
    <w:rsid w:val="00B87FE0"/>
    <w:rsid w:val="00B90F29"/>
    <w:rsid w:val="00B91168"/>
    <w:rsid w:val="00B941C9"/>
    <w:rsid w:val="00B969F6"/>
    <w:rsid w:val="00BA2931"/>
    <w:rsid w:val="00BA59DA"/>
    <w:rsid w:val="00BA651C"/>
    <w:rsid w:val="00BA658E"/>
    <w:rsid w:val="00BB2657"/>
    <w:rsid w:val="00BC5BAC"/>
    <w:rsid w:val="00BC6CDB"/>
    <w:rsid w:val="00BD3BA5"/>
    <w:rsid w:val="00BD7543"/>
    <w:rsid w:val="00BE3049"/>
    <w:rsid w:val="00BE7ACF"/>
    <w:rsid w:val="00BF2DD1"/>
    <w:rsid w:val="00BF3D2C"/>
    <w:rsid w:val="00BF56B5"/>
    <w:rsid w:val="00C20799"/>
    <w:rsid w:val="00C20E47"/>
    <w:rsid w:val="00C23A8C"/>
    <w:rsid w:val="00C26C9B"/>
    <w:rsid w:val="00C3008E"/>
    <w:rsid w:val="00C3023B"/>
    <w:rsid w:val="00C37280"/>
    <w:rsid w:val="00C372C7"/>
    <w:rsid w:val="00C40CA0"/>
    <w:rsid w:val="00C42561"/>
    <w:rsid w:val="00C4482F"/>
    <w:rsid w:val="00C478DE"/>
    <w:rsid w:val="00C533EC"/>
    <w:rsid w:val="00C533ED"/>
    <w:rsid w:val="00C5384C"/>
    <w:rsid w:val="00C7141B"/>
    <w:rsid w:val="00C71F91"/>
    <w:rsid w:val="00C80922"/>
    <w:rsid w:val="00C80E93"/>
    <w:rsid w:val="00C82052"/>
    <w:rsid w:val="00C82543"/>
    <w:rsid w:val="00C92DF9"/>
    <w:rsid w:val="00CA1D79"/>
    <w:rsid w:val="00CB1506"/>
    <w:rsid w:val="00CB36FF"/>
    <w:rsid w:val="00CC44A7"/>
    <w:rsid w:val="00CC585C"/>
    <w:rsid w:val="00CC6371"/>
    <w:rsid w:val="00CC716B"/>
    <w:rsid w:val="00CC7F07"/>
    <w:rsid w:val="00CD0F54"/>
    <w:rsid w:val="00CE2270"/>
    <w:rsid w:val="00CF74AF"/>
    <w:rsid w:val="00D037A2"/>
    <w:rsid w:val="00D07A09"/>
    <w:rsid w:val="00D07B69"/>
    <w:rsid w:val="00D1095F"/>
    <w:rsid w:val="00D1408E"/>
    <w:rsid w:val="00D179AF"/>
    <w:rsid w:val="00D25A7B"/>
    <w:rsid w:val="00D25FC3"/>
    <w:rsid w:val="00D305B5"/>
    <w:rsid w:val="00D330ED"/>
    <w:rsid w:val="00D3680E"/>
    <w:rsid w:val="00D51FB8"/>
    <w:rsid w:val="00D60896"/>
    <w:rsid w:val="00D7038F"/>
    <w:rsid w:val="00D7421C"/>
    <w:rsid w:val="00D81993"/>
    <w:rsid w:val="00D83652"/>
    <w:rsid w:val="00D846FA"/>
    <w:rsid w:val="00D87C75"/>
    <w:rsid w:val="00D900E1"/>
    <w:rsid w:val="00D962B5"/>
    <w:rsid w:val="00D96A66"/>
    <w:rsid w:val="00DA37DC"/>
    <w:rsid w:val="00DA462E"/>
    <w:rsid w:val="00DA5F8F"/>
    <w:rsid w:val="00DB599B"/>
    <w:rsid w:val="00DB6C3F"/>
    <w:rsid w:val="00DC1330"/>
    <w:rsid w:val="00DD7949"/>
    <w:rsid w:val="00DE2B6B"/>
    <w:rsid w:val="00DE3CB2"/>
    <w:rsid w:val="00DE764A"/>
    <w:rsid w:val="00DF05FB"/>
    <w:rsid w:val="00DF6A35"/>
    <w:rsid w:val="00E024F5"/>
    <w:rsid w:val="00E0704B"/>
    <w:rsid w:val="00E10BF5"/>
    <w:rsid w:val="00E1387A"/>
    <w:rsid w:val="00E13F50"/>
    <w:rsid w:val="00E148BD"/>
    <w:rsid w:val="00E2793F"/>
    <w:rsid w:val="00E331F9"/>
    <w:rsid w:val="00E34C05"/>
    <w:rsid w:val="00E44B3D"/>
    <w:rsid w:val="00E45187"/>
    <w:rsid w:val="00E53F49"/>
    <w:rsid w:val="00E5496E"/>
    <w:rsid w:val="00E54DA4"/>
    <w:rsid w:val="00E54EEE"/>
    <w:rsid w:val="00E71C31"/>
    <w:rsid w:val="00E7634B"/>
    <w:rsid w:val="00E77381"/>
    <w:rsid w:val="00E84B68"/>
    <w:rsid w:val="00E91646"/>
    <w:rsid w:val="00E917C5"/>
    <w:rsid w:val="00E92EE1"/>
    <w:rsid w:val="00E936B9"/>
    <w:rsid w:val="00EA121C"/>
    <w:rsid w:val="00EA4084"/>
    <w:rsid w:val="00EB169C"/>
    <w:rsid w:val="00EB5591"/>
    <w:rsid w:val="00EB6159"/>
    <w:rsid w:val="00EC10FE"/>
    <w:rsid w:val="00EC309E"/>
    <w:rsid w:val="00EC59BD"/>
    <w:rsid w:val="00ED192C"/>
    <w:rsid w:val="00ED3732"/>
    <w:rsid w:val="00ED45CE"/>
    <w:rsid w:val="00ED6A49"/>
    <w:rsid w:val="00EE0A3E"/>
    <w:rsid w:val="00EE0CB7"/>
    <w:rsid w:val="00EE257F"/>
    <w:rsid w:val="00EF2A32"/>
    <w:rsid w:val="00EF5159"/>
    <w:rsid w:val="00EF69C1"/>
    <w:rsid w:val="00F111E3"/>
    <w:rsid w:val="00F1192E"/>
    <w:rsid w:val="00F15728"/>
    <w:rsid w:val="00F2765F"/>
    <w:rsid w:val="00F31DB4"/>
    <w:rsid w:val="00F31EE1"/>
    <w:rsid w:val="00F37DCA"/>
    <w:rsid w:val="00F57B58"/>
    <w:rsid w:val="00F612DA"/>
    <w:rsid w:val="00F653D1"/>
    <w:rsid w:val="00F76A2B"/>
    <w:rsid w:val="00F84A12"/>
    <w:rsid w:val="00F909EA"/>
    <w:rsid w:val="00F9140E"/>
    <w:rsid w:val="00F93092"/>
    <w:rsid w:val="00F94E6B"/>
    <w:rsid w:val="00F976A7"/>
    <w:rsid w:val="00F97AD0"/>
    <w:rsid w:val="00FA20FE"/>
    <w:rsid w:val="00FA46A3"/>
    <w:rsid w:val="00FB01B4"/>
    <w:rsid w:val="00FB4CBC"/>
    <w:rsid w:val="00FB500A"/>
    <w:rsid w:val="00FB5B6D"/>
    <w:rsid w:val="00FC12F3"/>
    <w:rsid w:val="00FC3182"/>
    <w:rsid w:val="00FC3E74"/>
    <w:rsid w:val="00FC4B75"/>
    <w:rsid w:val="00FE426B"/>
    <w:rsid w:val="00FE5BE2"/>
    <w:rsid w:val="00FE736F"/>
    <w:rsid w:val="00FF38F2"/>
    <w:rsid w:val="00FF470F"/>
    <w:rsid w:val="00FF6C8A"/>
    <w:rsid w:val="00FF7C3C"/>
    <w:rsid w:val="1CB53D08"/>
    <w:rsid w:val="2006500E"/>
    <w:rsid w:val="54226A87"/>
    <w:rsid w:val="54F439A9"/>
    <w:rsid w:val="63B22D3D"/>
    <w:rsid w:val="764E6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cs="Calibri"/>
    </w:rPr>
  </w:style>
  <w:style w:type="paragraph" w:styleId="4">
    <w:name w:val="Document Map"/>
    <w:basedOn w:val="1"/>
    <w:link w:val="26"/>
    <w:semiHidden/>
    <w:unhideWhenUsed/>
    <w:qFormat/>
    <w:uiPriority w:val="99"/>
    <w:rPr>
      <w:rFonts w:ascii="宋体"/>
      <w:sz w:val="18"/>
      <w:szCs w:val="18"/>
    </w:rPr>
  </w:style>
  <w:style w:type="paragraph" w:styleId="5">
    <w:name w:val="annotation text"/>
    <w:basedOn w:val="1"/>
    <w:link w:val="24"/>
    <w:unhideWhenUsed/>
    <w:qFormat/>
    <w:uiPriority w:val="99"/>
    <w:pPr>
      <w:jc w:val="left"/>
    </w:pPr>
  </w:style>
  <w:style w:type="paragraph" w:styleId="6">
    <w:name w:val="Body Text Indent"/>
    <w:basedOn w:val="1"/>
    <w:link w:val="17"/>
    <w:semiHidden/>
    <w:qFormat/>
    <w:uiPriority w:val="0"/>
    <w:pPr>
      <w:spacing w:line="360" w:lineRule="auto"/>
      <w:ind w:firstLine="420" w:firstLine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left" w:pos="426"/>
        <w:tab w:val="right" w:leader="dot" w:pos="8647"/>
      </w:tabs>
      <w:spacing w:before="120" w:after="120" w:line="360" w:lineRule="auto"/>
      <w:ind w:left="-424" w:leftChars="-202"/>
      <w:jc w:val="left"/>
    </w:pPr>
    <w:rPr>
      <w:caps/>
      <w:szCs w:val="20"/>
    </w:rPr>
  </w:style>
  <w:style w:type="paragraph" w:styleId="11">
    <w:name w:val="annotation subject"/>
    <w:basedOn w:val="5"/>
    <w:next w:val="5"/>
    <w:link w:val="25"/>
    <w:semiHidden/>
    <w:unhideWhenUsed/>
    <w:qFormat/>
    <w:uiPriority w:val="99"/>
    <w:rPr>
      <w:b/>
      <w:bCs/>
    </w:rPr>
  </w:style>
  <w:style w:type="character" w:styleId="14">
    <w:name w:val="Hyperlink"/>
    <w:basedOn w:val="13"/>
    <w:qFormat/>
    <w:uiPriority w:val="99"/>
    <w:rPr>
      <w:color w:val="0000FF"/>
      <w:u w:val="single"/>
    </w:rPr>
  </w:style>
  <w:style w:type="character" w:styleId="15">
    <w:name w:val="annotation reference"/>
    <w:basedOn w:val="13"/>
    <w:unhideWhenUsed/>
    <w:qFormat/>
    <w:uiPriority w:val="0"/>
    <w:rPr>
      <w:sz w:val="21"/>
      <w:szCs w:val="21"/>
    </w:rPr>
  </w:style>
  <w:style w:type="character" w:customStyle="1" w:styleId="16">
    <w:name w:val="标题 1 Char"/>
    <w:basedOn w:val="13"/>
    <w:link w:val="2"/>
    <w:qFormat/>
    <w:uiPriority w:val="0"/>
    <w:rPr>
      <w:rFonts w:ascii="Times New Roman" w:hAnsi="Times New Roman" w:eastAsia="宋体" w:cs="Times New Roman"/>
      <w:b/>
      <w:bCs/>
      <w:kern w:val="44"/>
      <w:sz w:val="44"/>
      <w:szCs w:val="44"/>
    </w:rPr>
  </w:style>
  <w:style w:type="character" w:customStyle="1" w:styleId="17">
    <w:name w:val="正文文本缩进 Char"/>
    <w:basedOn w:val="13"/>
    <w:link w:val="6"/>
    <w:semiHidden/>
    <w:qFormat/>
    <w:uiPriority w:val="0"/>
    <w:rPr>
      <w:rFonts w:ascii="Times New Roman" w:hAnsi="Times New Roman" w:eastAsia="宋体" w:cs="Times New Roman"/>
      <w:szCs w:val="24"/>
    </w:rPr>
  </w:style>
  <w:style w:type="paragraph" w:styleId="18">
    <w:name w:val="List Paragraph"/>
    <w:basedOn w:val="1"/>
    <w:qFormat/>
    <w:uiPriority w:val="34"/>
    <w:pPr>
      <w:ind w:firstLine="420" w:firstLineChars="200"/>
    </w:pPr>
  </w:style>
  <w:style w:type="character" w:customStyle="1" w:styleId="19">
    <w:name w:val="页眉 Char"/>
    <w:basedOn w:val="13"/>
    <w:link w:val="9"/>
    <w:qFormat/>
    <w:uiPriority w:val="99"/>
    <w:rPr>
      <w:rFonts w:ascii="Times New Roman" w:hAnsi="Times New Roman" w:eastAsia="宋体" w:cs="Times New Roman"/>
      <w:sz w:val="18"/>
      <w:szCs w:val="18"/>
    </w:rPr>
  </w:style>
  <w:style w:type="character" w:customStyle="1" w:styleId="20">
    <w:name w:val="页脚 Char"/>
    <w:basedOn w:val="13"/>
    <w:link w:val="8"/>
    <w:qFormat/>
    <w:uiPriority w:val="99"/>
    <w:rPr>
      <w:rFonts w:ascii="Times New Roman" w:hAnsi="Times New Roman" w:eastAsia="宋体" w:cs="Times New Roman"/>
      <w:sz w:val="18"/>
      <w:szCs w:val="18"/>
    </w:rPr>
  </w:style>
  <w:style w:type="character" w:customStyle="1" w:styleId="21">
    <w:name w:val="批注框文本 Char"/>
    <w:basedOn w:val="13"/>
    <w:link w:val="7"/>
    <w:semiHidden/>
    <w:qFormat/>
    <w:uiPriority w:val="99"/>
    <w:rPr>
      <w:rFonts w:ascii="Times New Roman" w:hAnsi="Times New Roman" w:eastAsia="宋体" w:cs="Times New Roman"/>
      <w:sz w:val="18"/>
      <w:szCs w:val="18"/>
    </w:rPr>
  </w:style>
  <w:style w:type="paragraph" w:customStyle="1" w:styleId="2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3">
    <w:name w:val="正文所"/>
    <w:basedOn w:val="1"/>
    <w:qFormat/>
    <w:uiPriority w:val="0"/>
    <w:pPr>
      <w:spacing w:line="360" w:lineRule="auto"/>
      <w:ind w:firstLine="420" w:firstLineChars="200"/>
    </w:pPr>
  </w:style>
  <w:style w:type="character" w:customStyle="1" w:styleId="24">
    <w:name w:val="批注文字 Char"/>
    <w:basedOn w:val="13"/>
    <w:link w:val="5"/>
    <w:qFormat/>
    <w:uiPriority w:val="99"/>
    <w:rPr>
      <w:rFonts w:ascii="Times New Roman" w:hAnsi="Times New Roman" w:eastAsia="宋体" w:cs="Times New Roman"/>
      <w:szCs w:val="24"/>
    </w:rPr>
  </w:style>
  <w:style w:type="character" w:customStyle="1" w:styleId="25">
    <w:name w:val="批注主题 Char"/>
    <w:basedOn w:val="24"/>
    <w:link w:val="11"/>
    <w:semiHidden/>
    <w:qFormat/>
    <w:uiPriority w:val="99"/>
    <w:rPr>
      <w:rFonts w:ascii="Times New Roman" w:hAnsi="Times New Roman" w:eastAsia="宋体" w:cs="Times New Roman"/>
      <w:b/>
      <w:bCs/>
      <w:szCs w:val="24"/>
    </w:rPr>
  </w:style>
  <w:style w:type="character" w:customStyle="1" w:styleId="26">
    <w:name w:val="文档结构图 Char"/>
    <w:basedOn w:val="13"/>
    <w:link w:val="4"/>
    <w:semiHidden/>
    <w:qFormat/>
    <w:uiPriority w:val="99"/>
    <w:rPr>
      <w:rFonts w:ascii="宋体" w:hAnsi="Times New Roman" w:eastAsia="宋体" w:cs="Times New Roman"/>
      <w:sz w:val="18"/>
      <w:szCs w:val="18"/>
    </w:rPr>
  </w:style>
  <w:style w:type="paragraph" w:customStyle="1" w:styleId="2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8">
    <w:name w:val="Char Char"/>
    <w:basedOn w:val="1"/>
    <w:qFormat/>
    <w:uiPriority w:val="0"/>
    <w:rPr>
      <w:szCs w:val="20"/>
    </w:rPr>
  </w:style>
  <w:style w:type="character" w:customStyle="1" w:styleId="29">
    <w:name w:val="read"/>
    <w:basedOn w:val="13"/>
    <w:qFormat/>
    <w:uiPriority w:val="0"/>
  </w:style>
  <w:style w:type="paragraph" w:customStyle="1" w:styleId="30">
    <w:name w:val="juzhong"/>
    <w:basedOn w:val="1"/>
    <w:qFormat/>
    <w:uiPriority w:val="0"/>
    <w:pPr>
      <w:widowControl/>
      <w:spacing w:before="100" w:beforeAutospacing="1" w:after="100" w:afterAutospacing="1"/>
      <w:jc w:val="left"/>
    </w:pPr>
    <w:rPr>
      <w:rFonts w:ascii="宋体" w:hAnsi="宋体" w:cs="宋体"/>
      <w:kern w:val="0"/>
      <w:sz w:val="24"/>
    </w:rPr>
  </w:style>
  <w:style w:type="paragraph" w:customStyle="1" w:styleId="31">
    <w:name w:val="！正文缩进2字符"/>
    <w:basedOn w:val="1"/>
    <w:qFormat/>
    <w:uiPriority w:val="0"/>
    <w:pPr>
      <w:widowControl/>
      <w:spacing w:line="360" w:lineRule="auto"/>
      <w:ind w:firstLine="200" w:firstLineChars="200"/>
    </w:pPr>
    <w:rPr>
      <w:sz w:val="24"/>
      <w:szCs w:val="20"/>
    </w:rPr>
  </w:style>
  <w:style w:type="paragraph" w:customStyle="1" w:styleId="3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3C4B61-C004-4D8D-AED2-B72FE5A1BDF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41</Pages>
  <Words>5454</Words>
  <Characters>31089</Characters>
  <Lines>259</Lines>
  <Paragraphs>72</Paragraphs>
  <TotalTime>5</TotalTime>
  <ScaleCrop>false</ScaleCrop>
  <LinksUpToDate>false</LinksUpToDate>
  <CharactersWithSpaces>36471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2025-07-28T07:29:00Z</dcterms:created>
  <dc:creator>张雨萱</dc:creator>
  <cp:lastModifiedBy>李逸天</cp:lastModifiedBy>
  <cp:lastPrinted>2024-07-08T07:04:00Z</cp:lastPrinted>
  <dcterms:modified xsi:type="dcterms:W3CDTF">2025-09-26T06:03:13Z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837792CC00BD4FA58954016D2DAA18F8</vt:lpwstr>
  </property>
</Properties>
</file>