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B26E" w14:textId="77777777" w:rsidR="001F0793" w:rsidRDefault="001F0793">
      <w:pPr>
        <w:adjustRightInd w:val="0"/>
        <w:snapToGrid w:val="0"/>
        <w:spacing w:line="360" w:lineRule="auto"/>
        <w:jc w:val="center"/>
        <w:rPr>
          <w:rFonts w:ascii="宋体" w:hAnsi="宋体" w:cs="Arial"/>
          <w:sz w:val="24"/>
        </w:rPr>
      </w:pPr>
    </w:p>
    <w:p w14:paraId="0916F47D" w14:textId="77777777" w:rsidR="001F0793" w:rsidRDefault="001F0793">
      <w:pPr>
        <w:adjustRightInd w:val="0"/>
        <w:snapToGrid w:val="0"/>
        <w:spacing w:line="360" w:lineRule="auto"/>
        <w:jc w:val="center"/>
        <w:rPr>
          <w:rFonts w:ascii="宋体" w:hAnsi="宋体" w:cs="Arial"/>
          <w:sz w:val="24"/>
        </w:rPr>
      </w:pPr>
    </w:p>
    <w:p w14:paraId="50AE20AC" w14:textId="77777777" w:rsidR="001F0793" w:rsidRDefault="001F0793">
      <w:pPr>
        <w:adjustRightInd w:val="0"/>
        <w:snapToGrid w:val="0"/>
        <w:spacing w:line="360" w:lineRule="auto"/>
        <w:jc w:val="center"/>
        <w:rPr>
          <w:rFonts w:ascii="宋体" w:hAnsi="宋体" w:cs="Arial"/>
          <w:sz w:val="24"/>
        </w:rPr>
      </w:pPr>
    </w:p>
    <w:p w14:paraId="43284857" w14:textId="77777777" w:rsidR="001F0793" w:rsidRDefault="001F0793">
      <w:pPr>
        <w:adjustRightInd w:val="0"/>
        <w:snapToGrid w:val="0"/>
        <w:spacing w:line="360" w:lineRule="auto"/>
        <w:jc w:val="center"/>
        <w:rPr>
          <w:rFonts w:ascii="宋体" w:hAnsi="宋体" w:cs="Arial"/>
          <w:sz w:val="24"/>
        </w:rPr>
      </w:pPr>
    </w:p>
    <w:p w14:paraId="7B6C13FC" w14:textId="77777777" w:rsidR="001F0793" w:rsidRDefault="001F0793">
      <w:pPr>
        <w:adjustRightInd w:val="0"/>
        <w:snapToGrid w:val="0"/>
        <w:spacing w:line="360" w:lineRule="auto"/>
        <w:jc w:val="center"/>
        <w:rPr>
          <w:rFonts w:ascii="宋体" w:hAnsi="宋体" w:cs="Arial"/>
          <w:sz w:val="24"/>
        </w:rPr>
      </w:pPr>
    </w:p>
    <w:p w14:paraId="7C479757" w14:textId="77777777" w:rsidR="001F0793" w:rsidRDefault="001F0793">
      <w:pPr>
        <w:adjustRightInd w:val="0"/>
        <w:snapToGrid w:val="0"/>
        <w:spacing w:line="360" w:lineRule="auto"/>
        <w:jc w:val="center"/>
        <w:rPr>
          <w:rFonts w:ascii="宋体" w:hAnsi="宋体" w:cs="Arial"/>
          <w:sz w:val="24"/>
        </w:rPr>
      </w:pPr>
    </w:p>
    <w:p w14:paraId="6185DAEA" w14:textId="77777777" w:rsidR="001F0793" w:rsidRDefault="001F0793">
      <w:pPr>
        <w:adjustRightInd w:val="0"/>
        <w:snapToGrid w:val="0"/>
        <w:spacing w:line="360" w:lineRule="auto"/>
        <w:jc w:val="center"/>
        <w:rPr>
          <w:rFonts w:ascii="宋体" w:hAnsi="宋体" w:cs="Arial"/>
          <w:sz w:val="24"/>
        </w:rPr>
      </w:pPr>
    </w:p>
    <w:p w14:paraId="672C3C04" w14:textId="77777777" w:rsidR="001F0793" w:rsidRDefault="001F0793">
      <w:pPr>
        <w:adjustRightInd w:val="0"/>
        <w:snapToGrid w:val="0"/>
        <w:spacing w:line="360" w:lineRule="auto"/>
        <w:jc w:val="center"/>
        <w:rPr>
          <w:rFonts w:ascii="宋体" w:hAnsi="宋体" w:cs="Arial"/>
          <w:sz w:val="24"/>
        </w:rPr>
      </w:pPr>
    </w:p>
    <w:p w14:paraId="27074CB5" w14:textId="77777777" w:rsidR="001F0793" w:rsidRDefault="001F0793">
      <w:pPr>
        <w:adjustRightInd w:val="0"/>
        <w:snapToGrid w:val="0"/>
        <w:spacing w:line="360" w:lineRule="auto"/>
        <w:jc w:val="center"/>
        <w:rPr>
          <w:rFonts w:ascii="宋体" w:hAnsi="宋体" w:cs="Arial"/>
          <w:sz w:val="24"/>
        </w:rPr>
      </w:pPr>
    </w:p>
    <w:p w14:paraId="5E167AC4" w14:textId="77777777" w:rsidR="001F0793" w:rsidRDefault="001F0793">
      <w:pPr>
        <w:adjustRightInd w:val="0"/>
        <w:snapToGrid w:val="0"/>
        <w:spacing w:line="360" w:lineRule="auto"/>
        <w:jc w:val="center"/>
        <w:rPr>
          <w:rFonts w:ascii="宋体" w:hAnsi="宋体" w:cs="Arial"/>
          <w:sz w:val="24"/>
        </w:rPr>
      </w:pPr>
    </w:p>
    <w:p w14:paraId="1F70A831" w14:textId="77777777" w:rsidR="001F0793" w:rsidRDefault="001F0793">
      <w:pPr>
        <w:adjustRightInd w:val="0"/>
        <w:snapToGrid w:val="0"/>
        <w:spacing w:line="360" w:lineRule="auto"/>
        <w:jc w:val="center"/>
        <w:rPr>
          <w:rFonts w:ascii="宋体" w:hAnsi="宋体" w:cs="Arial"/>
          <w:sz w:val="24"/>
        </w:rPr>
      </w:pPr>
    </w:p>
    <w:p w14:paraId="694B376C" w14:textId="27C991A1" w:rsidR="006058E1" w:rsidRDefault="00E53946">
      <w:pPr>
        <w:adjustRightInd w:val="0"/>
        <w:snapToGrid w:val="0"/>
        <w:spacing w:line="360" w:lineRule="auto"/>
        <w:jc w:val="center"/>
        <w:rPr>
          <w:rFonts w:ascii="宋体" w:hAnsi="宋体" w:cs="Arial"/>
          <w:b/>
          <w:sz w:val="44"/>
        </w:rPr>
      </w:pPr>
      <w:r>
        <w:rPr>
          <w:rFonts w:ascii="宋体" w:hAnsi="宋体" w:cs="Arial" w:hint="eastAsia"/>
          <w:b/>
          <w:sz w:val="44"/>
        </w:rPr>
        <w:t>广</w:t>
      </w:r>
      <w:proofErr w:type="gramStart"/>
      <w:r>
        <w:rPr>
          <w:rFonts w:ascii="宋体" w:hAnsi="宋体" w:cs="Arial" w:hint="eastAsia"/>
          <w:b/>
          <w:sz w:val="44"/>
        </w:rPr>
        <w:t>发</w:t>
      </w:r>
      <w:r w:rsidR="006058E1">
        <w:rPr>
          <w:rFonts w:ascii="宋体" w:hAnsi="宋体" w:cs="Arial" w:hint="eastAsia"/>
          <w:b/>
          <w:sz w:val="44"/>
        </w:rPr>
        <w:t>创业板指数</w:t>
      </w:r>
      <w:proofErr w:type="gramEnd"/>
      <w:r w:rsidR="006058E1">
        <w:rPr>
          <w:rFonts w:ascii="宋体" w:hAnsi="宋体" w:cs="Arial" w:hint="eastAsia"/>
          <w:b/>
          <w:sz w:val="44"/>
        </w:rPr>
        <w:t>增强型</w:t>
      </w:r>
      <w:r>
        <w:rPr>
          <w:rFonts w:ascii="宋体" w:hAnsi="宋体" w:cs="Arial" w:hint="eastAsia"/>
          <w:b/>
          <w:sz w:val="44"/>
        </w:rPr>
        <w:t>证券投资基金</w:t>
      </w:r>
    </w:p>
    <w:p w14:paraId="210CBEFB" w14:textId="25041B4F" w:rsidR="001F0793" w:rsidRDefault="00E53946">
      <w:pPr>
        <w:adjustRightInd w:val="0"/>
        <w:snapToGrid w:val="0"/>
        <w:spacing w:line="360" w:lineRule="auto"/>
        <w:jc w:val="center"/>
        <w:rPr>
          <w:rFonts w:ascii="宋体" w:hAnsi="宋体" w:cs="Arial"/>
          <w:b/>
          <w:sz w:val="44"/>
        </w:rPr>
      </w:pPr>
      <w:r>
        <w:rPr>
          <w:rFonts w:ascii="宋体" w:hAnsi="宋体" w:cs="Arial" w:hint="eastAsia"/>
          <w:b/>
          <w:sz w:val="44"/>
        </w:rPr>
        <w:t>托管协议</w:t>
      </w:r>
    </w:p>
    <w:p w14:paraId="010769B2" w14:textId="77777777" w:rsidR="001F0793" w:rsidRDefault="001F0793">
      <w:pPr>
        <w:adjustRightInd w:val="0"/>
        <w:snapToGrid w:val="0"/>
        <w:spacing w:line="360" w:lineRule="auto"/>
        <w:jc w:val="center"/>
        <w:outlineLvl w:val="0"/>
        <w:rPr>
          <w:rFonts w:ascii="宋体" w:hAnsi="宋体" w:cs="Arial"/>
          <w:sz w:val="24"/>
        </w:rPr>
      </w:pPr>
    </w:p>
    <w:p w14:paraId="146E8238" w14:textId="77777777" w:rsidR="001F0793" w:rsidRDefault="001F0793">
      <w:pPr>
        <w:adjustRightInd w:val="0"/>
        <w:snapToGrid w:val="0"/>
        <w:spacing w:line="360" w:lineRule="auto"/>
        <w:jc w:val="center"/>
        <w:outlineLvl w:val="0"/>
        <w:rPr>
          <w:rFonts w:ascii="宋体" w:hAnsi="宋体" w:cs="Arial"/>
          <w:sz w:val="24"/>
        </w:rPr>
      </w:pPr>
    </w:p>
    <w:p w14:paraId="6E866CCB" w14:textId="77777777" w:rsidR="001F0793" w:rsidRDefault="001F0793">
      <w:pPr>
        <w:adjustRightInd w:val="0"/>
        <w:snapToGrid w:val="0"/>
        <w:spacing w:line="360" w:lineRule="auto"/>
        <w:jc w:val="center"/>
        <w:outlineLvl w:val="0"/>
        <w:rPr>
          <w:rFonts w:ascii="宋体" w:hAnsi="宋体" w:cs="Arial"/>
          <w:sz w:val="24"/>
        </w:rPr>
      </w:pPr>
    </w:p>
    <w:p w14:paraId="360893E8" w14:textId="77777777" w:rsidR="001F0793" w:rsidRDefault="001F0793">
      <w:pPr>
        <w:adjustRightInd w:val="0"/>
        <w:snapToGrid w:val="0"/>
        <w:spacing w:line="360" w:lineRule="auto"/>
        <w:jc w:val="center"/>
        <w:outlineLvl w:val="0"/>
        <w:rPr>
          <w:rFonts w:ascii="宋体" w:hAnsi="宋体" w:cs="Arial"/>
          <w:sz w:val="24"/>
        </w:rPr>
      </w:pPr>
    </w:p>
    <w:p w14:paraId="021EF996" w14:textId="77777777" w:rsidR="001F0793" w:rsidRDefault="001F0793">
      <w:pPr>
        <w:adjustRightInd w:val="0"/>
        <w:snapToGrid w:val="0"/>
        <w:spacing w:line="360" w:lineRule="auto"/>
        <w:jc w:val="center"/>
        <w:outlineLvl w:val="0"/>
        <w:rPr>
          <w:rFonts w:ascii="宋体" w:hAnsi="宋体" w:cs="Arial"/>
          <w:sz w:val="24"/>
        </w:rPr>
      </w:pPr>
    </w:p>
    <w:p w14:paraId="79599BD9" w14:textId="77777777" w:rsidR="001F0793" w:rsidRDefault="001F0793">
      <w:pPr>
        <w:adjustRightInd w:val="0"/>
        <w:snapToGrid w:val="0"/>
        <w:spacing w:line="360" w:lineRule="auto"/>
        <w:jc w:val="center"/>
        <w:outlineLvl w:val="0"/>
        <w:rPr>
          <w:rFonts w:ascii="宋体" w:hAnsi="宋体" w:cs="Arial"/>
          <w:sz w:val="24"/>
        </w:rPr>
      </w:pPr>
    </w:p>
    <w:p w14:paraId="7DBCC20D" w14:textId="77777777" w:rsidR="001F0793" w:rsidRDefault="00E53946">
      <w:pPr>
        <w:adjustRightInd w:val="0"/>
        <w:snapToGrid w:val="0"/>
        <w:spacing w:line="360" w:lineRule="auto"/>
        <w:jc w:val="center"/>
        <w:outlineLvl w:val="0"/>
        <w:rPr>
          <w:rFonts w:ascii="宋体" w:hAnsi="宋体" w:cs="Arial"/>
          <w:b/>
          <w:bCs/>
          <w:sz w:val="28"/>
        </w:rPr>
      </w:pPr>
      <w:r>
        <w:rPr>
          <w:rFonts w:ascii="宋体" w:hAnsi="宋体" w:cs="Arial" w:hint="eastAsia"/>
          <w:b/>
          <w:bCs/>
          <w:sz w:val="28"/>
        </w:rPr>
        <w:t>基金管理人：广发基金管理有限公司</w:t>
      </w:r>
    </w:p>
    <w:p w14:paraId="4D6D64FB" w14:textId="77777777" w:rsidR="001F0793" w:rsidRDefault="00E53946">
      <w:pPr>
        <w:adjustRightInd w:val="0"/>
        <w:snapToGrid w:val="0"/>
        <w:spacing w:line="360" w:lineRule="auto"/>
        <w:jc w:val="center"/>
        <w:outlineLvl w:val="0"/>
        <w:rPr>
          <w:rFonts w:ascii="宋体" w:hAnsi="宋体" w:cs="Arial"/>
          <w:b/>
          <w:bCs/>
          <w:sz w:val="28"/>
        </w:rPr>
      </w:pPr>
      <w:r>
        <w:rPr>
          <w:rFonts w:ascii="宋体" w:hAnsi="宋体" w:cs="Arial" w:hint="eastAsia"/>
          <w:b/>
          <w:bCs/>
          <w:sz w:val="28"/>
        </w:rPr>
        <w:t xml:space="preserve">    基金托管人：中国建设银行股份有限公司</w:t>
      </w:r>
    </w:p>
    <w:p w14:paraId="78C7DF8D" w14:textId="77777777" w:rsidR="001F0793" w:rsidRDefault="001F0793">
      <w:pPr>
        <w:adjustRightInd w:val="0"/>
        <w:snapToGrid w:val="0"/>
        <w:spacing w:line="360" w:lineRule="auto"/>
        <w:outlineLvl w:val="0"/>
        <w:rPr>
          <w:rFonts w:ascii="宋体" w:hAnsi="宋体" w:cs="Arial"/>
          <w:sz w:val="24"/>
        </w:rPr>
      </w:pPr>
    </w:p>
    <w:p w14:paraId="26D8136B" w14:textId="77777777" w:rsidR="001F0793" w:rsidRDefault="00E53946">
      <w:pPr>
        <w:adjustRightInd w:val="0"/>
        <w:snapToGrid w:val="0"/>
        <w:spacing w:line="360" w:lineRule="auto"/>
        <w:outlineLvl w:val="0"/>
        <w:rPr>
          <w:rFonts w:ascii="宋体" w:hAnsi="宋体" w:cs="Arial"/>
          <w:sz w:val="24"/>
        </w:rPr>
      </w:pPr>
      <w:r>
        <w:rPr>
          <w:rFonts w:ascii="宋体" w:hAnsi="宋体" w:cs="Arial" w:hint="eastAsia"/>
          <w:sz w:val="24"/>
        </w:rPr>
        <w:t xml:space="preserve">                       </w:t>
      </w:r>
    </w:p>
    <w:p w14:paraId="4A6DB8A0" w14:textId="77777777" w:rsidR="001F0793" w:rsidRDefault="001F0793">
      <w:pPr>
        <w:adjustRightInd w:val="0"/>
        <w:snapToGrid w:val="0"/>
        <w:spacing w:line="360" w:lineRule="auto"/>
        <w:jc w:val="center"/>
        <w:rPr>
          <w:rFonts w:ascii="宋体" w:hAnsi="宋体" w:cs="Arial"/>
          <w:bCs/>
          <w:sz w:val="24"/>
        </w:rPr>
      </w:pPr>
    </w:p>
    <w:p w14:paraId="6E50BA46" w14:textId="77777777" w:rsidR="001F0793" w:rsidRDefault="001F0793">
      <w:pPr>
        <w:adjustRightInd w:val="0"/>
        <w:snapToGrid w:val="0"/>
        <w:spacing w:line="360" w:lineRule="auto"/>
        <w:jc w:val="center"/>
        <w:rPr>
          <w:rFonts w:ascii="宋体" w:hAnsi="宋体" w:cs="Arial"/>
          <w:bCs/>
          <w:sz w:val="24"/>
        </w:rPr>
      </w:pPr>
    </w:p>
    <w:p w14:paraId="2A06FBB4" w14:textId="77777777" w:rsidR="001F0793" w:rsidRDefault="001F0793">
      <w:pPr>
        <w:adjustRightInd w:val="0"/>
        <w:snapToGrid w:val="0"/>
        <w:spacing w:line="360" w:lineRule="auto"/>
        <w:jc w:val="center"/>
        <w:rPr>
          <w:rFonts w:ascii="宋体" w:hAnsi="宋体" w:cs="Arial"/>
          <w:bCs/>
          <w:sz w:val="24"/>
        </w:rPr>
      </w:pPr>
    </w:p>
    <w:p w14:paraId="1A0142F2" w14:textId="77777777" w:rsidR="001F0793" w:rsidRDefault="001F0793">
      <w:pPr>
        <w:adjustRightInd w:val="0"/>
        <w:snapToGrid w:val="0"/>
        <w:spacing w:line="360" w:lineRule="auto"/>
        <w:jc w:val="center"/>
        <w:rPr>
          <w:rFonts w:ascii="宋体" w:hAnsi="宋体" w:cs="Arial"/>
          <w:bCs/>
          <w:sz w:val="24"/>
        </w:rPr>
        <w:sectPr w:rsidR="001F0793">
          <w:footerReference w:type="even" r:id="rId7"/>
          <w:pgSz w:w="11906" w:h="16838"/>
          <w:pgMar w:top="1418" w:right="1701" w:bottom="1418" w:left="1701" w:header="851" w:footer="992" w:gutter="0"/>
          <w:cols w:space="720"/>
          <w:docGrid w:type="lines" w:linePitch="312"/>
        </w:sectPr>
      </w:pPr>
    </w:p>
    <w:p w14:paraId="3D720CAA" w14:textId="77777777" w:rsidR="001F0793" w:rsidRDefault="001F0793">
      <w:pPr>
        <w:adjustRightInd w:val="0"/>
        <w:snapToGrid w:val="0"/>
        <w:spacing w:line="360" w:lineRule="auto"/>
        <w:rPr>
          <w:rFonts w:ascii="宋体" w:hAnsi="宋体" w:cs="Arial"/>
          <w:bCs/>
          <w:sz w:val="24"/>
        </w:rPr>
      </w:pPr>
    </w:p>
    <w:p w14:paraId="5B5CABED" w14:textId="77777777" w:rsidR="001F0793" w:rsidRDefault="00E53946">
      <w:pPr>
        <w:spacing w:line="360" w:lineRule="auto"/>
        <w:jc w:val="center"/>
        <w:rPr>
          <w:rFonts w:ascii="宋体" w:hAnsi="宋体"/>
          <w:b/>
          <w:bCs/>
          <w:sz w:val="30"/>
        </w:rPr>
      </w:pPr>
      <w:r>
        <w:rPr>
          <w:rFonts w:ascii="宋体" w:hAnsi="宋体" w:hint="eastAsia"/>
          <w:b/>
          <w:bCs/>
          <w:sz w:val="30"/>
        </w:rPr>
        <w:t>目    录</w:t>
      </w:r>
    </w:p>
    <w:p w14:paraId="0D3C7898" w14:textId="245737A1" w:rsidR="001F0793" w:rsidRDefault="00E53946">
      <w:pPr>
        <w:pStyle w:val="23"/>
        <w:tabs>
          <w:tab w:val="right" w:leader="dot" w:pos="8494"/>
        </w:tabs>
        <w:spacing w:line="360" w:lineRule="auto"/>
        <w:rPr>
          <w:rFonts w:ascii="宋体" w:hAnsi="宋体"/>
          <w:noProof/>
          <w:sz w:val="24"/>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124325885" w:history="1">
        <w:r>
          <w:rPr>
            <w:rStyle w:val="af1"/>
            <w:rFonts w:ascii="宋体" w:hAnsi="宋体" w:hint="eastAsia"/>
            <w:noProof/>
            <w:sz w:val="24"/>
          </w:rPr>
          <w:t>一、基金托管协议当</w:t>
        </w:r>
        <w:bookmarkStart w:id="0" w:name="_Hlt498420680"/>
        <w:bookmarkStart w:id="1" w:name="_Hlt498420681"/>
        <w:r>
          <w:rPr>
            <w:rStyle w:val="af1"/>
            <w:rFonts w:ascii="宋体" w:hAnsi="宋体" w:hint="eastAsia"/>
            <w:noProof/>
            <w:sz w:val="24"/>
          </w:rPr>
          <w:t>事</w:t>
        </w:r>
        <w:bookmarkEnd w:id="0"/>
        <w:bookmarkEnd w:id="1"/>
        <w:r>
          <w:rPr>
            <w:rStyle w:val="af1"/>
            <w:rFonts w:ascii="宋体" w:hAnsi="宋体" w:hint="eastAsia"/>
            <w:noProof/>
            <w:sz w:val="24"/>
          </w:rPr>
          <w:t>人</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PAGEREF _Toc124325885 \h </w:instrText>
        </w:r>
        <w:r>
          <w:rPr>
            <w:rFonts w:ascii="宋体" w:hAnsi="宋体" w:hint="eastAsia"/>
            <w:noProof/>
            <w:sz w:val="24"/>
          </w:rPr>
        </w:r>
        <w:r>
          <w:rPr>
            <w:rFonts w:ascii="宋体" w:hAnsi="宋体" w:hint="eastAsia"/>
            <w:noProof/>
            <w:sz w:val="24"/>
          </w:rPr>
          <w:fldChar w:fldCharType="separate"/>
        </w:r>
        <w:r w:rsidR="00420C1B">
          <w:rPr>
            <w:rFonts w:ascii="宋体" w:hAnsi="宋体"/>
            <w:noProof/>
            <w:sz w:val="24"/>
          </w:rPr>
          <w:t>2</w:t>
        </w:r>
        <w:r>
          <w:rPr>
            <w:rFonts w:ascii="宋体" w:hAnsi="宋体" w:hint="eastAsia"/>
            <w:noProof/>
            <w:sz w:val="24"/>
          </w:rPr>
          <w:fldChar w:fldCharType="end"/>
        </w:r>
      </w:hyperlink>
    </w:p>
    <w:p w14:paraId="63EB1C5C" w14:textId="5FBE3A4F" w:rsidR="001F0793" w:rsidRDefault="00203813">
      <w:pPr>
        <w:pStyle w:val="23"/>
        <w:tabs>
          <w:tab w:val="right" w:leader="dot" w:pos="8494"/>
        </w:tabs>
        <w:spacing w:line="360" w:lineRule="auto"/>
        <w:rPr>
          <w:rFonts w:ascii="宋体" w:hAnsi="宋体"/>
          <w:noProof/>
          <w:sz w:val="24"/>
        </w:rPr>
      </w:pPr>
      <w:hyperlink w:anchor="_Toc124325886" w:history="1">
        <w:r w:rsidR="00E53946">
          <w:rPr>
            <w:rStyle w:val="af1"/>
            <w:rFonts w:ascii="宋体" w:hAnsi="宋体" w:hint="eastAsia"/>
            <w:noProof/>
            <w:sz w:val="24"/>
          </w:rPr>
          <w:t>二、基金托管协议的依据、目的和原则</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_Toc124325886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w:t>
        </w:r>
        <w:r w:rsidR="00E53946">
          <w:rPr>
            <w:rFonts w:ascii="宋体" w:hAnsi="宋体" w:hint="eastAsia"/>
            <w:noProof/>
            <w:sz w:val="24"/>
          </w:rPr>
          <w:fldChar w:fldCharType="end"/>
        </w:r>
      </w:hyperlink>
    </w:p>
    <w:p w14:paraId="4DABD7A7" w14:textId="03590C9C" w:rsidR="001F0793" w:rsidRDefault="00203813">
      <w:pPr>
        <w:pStyle w:val="23"/>
        <w:tabs>
          <w:tab w:val="right" w:leader="dot" w:pos="8494"/>
        </w:tabs>
        <w:spacing w:line="360" w:lineRule="auto"/>
        <w:rPr>
          <w:rFonts w:ascii="宋体" w:hAnsi="宋体"/>
          <w:noProof/>
          <w:sz w:val="24"/>
        </w:rPr>
      </w:pPr>
      <w:hyperlink w:anchor="_Toc124325887" w:history="1">
        <w:r w:rsidR="00E53946">
          <w:rPr>
            <w:rStyle w:val="af1"/>
            <w:rFonts w:ascii="宋体" w:hAnsi="宋体" w:hint="eastAsia"/>
            <w:noProof/>
            <w:sz w:val="24"/>
          </w:rPr>
          <w:t>三、基金托管人对基金管理人的业务监督和核查</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_Toc124325887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4</w:t>
        </w:r>
        <w:r w:rsidR="00E53946">
          <w:rPr>
            <w:rFonts w:ascii="宋体" w:hAnsi="宋体" w:hint="eastAsia"/>
            <w:noProof/>
            <w:sz w:val="24"/>
          </w:rPr>
          <w:fldChar w:fldCharType="end"/>
        </w:r>
      </w:hyperlink>
    </w:p>
    <w:p w14:paraId="547D0087" w14:textId="27863CDB" w:rsidR="001F0793" w:rsidRDefault="00203813">
      <w:pPr>
        <w:pStyle w:val="23"/>
        <w:tabs>
          <w:tab w:val="right" w:leader="dot" w:pos="8494"/>
        </w:tabs>
        <w:spacing w:line="360" w:lineRule="auto"/>
        <w:rPr>
          <w:rFonts w:ascii="宋体" w:hAnsi="宋体"/>
          <w:noProof/>
          <w:sz w:val="24"/>
        </w:rPr>
      </w:pPr>
      <w:hyperlink w:anchor="_Toc124325888" w:history="1">
        <w:r w:rsidR="00E53946">
          <w:rPr>
            <w:rStyle w:val="af1"/>
            <w:rFonts w:ascii="宋体" w:hAnsi="宋体" w:hint="eastAsia"/>
            <w:noProof/>
            <w:sz w:val="24"/>
          </w:rPr>
          <w:t>四、基金管理人对基金托管人的业务核查</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_Toc124325888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10</w:t>
        </w:r>
        <w:r w:rsidR="00E53946">
          <w:rPr>
            <w:rFonts w:ascii="宋体" w:hAnsi="宋体" w:hint="eastAsia"/>
            <w:noProof/>
            <w:sz w:val="24"/>
          </w:rPr>
          <w:fldChar w:fldCharType="end"/>
        </w:r>
      </w:hyperlink>
    </w:p>
    <w:p w14:paraId="5A8A133B" w14:textId="2AD1F715" w:rsidR="001F0793" w:rsidRDefault="00203813">
      <w:pPr>
        <w:pStyle w:val="23"/>
        <w:tabs>
          <w:tab w:val="right" w:leader="dot" w:pos="8494"/>
        </w:tabs>
        <w:spacing w:line="360" w:lineRule="auto"/>
        <w:rPr>
          <w:rFonts w:ascii="宋体" w:hAnsi="宋体"/>
          <w:noProof/>
          <w:sz w:val="24"/>
        </w:rPr>
      </w:pPr>
      <w:hyperlink w:anchor="_Toc124325889" w:history="1">
        <w:r w:rsidR="00E53946">
          <w:rPr>
            <w:rStyle w:val="af1"/>
            <w:rFonts w:ascii="宋体" w:hAnsi="宋体" w:hint="eastAsia"/>
            <w:noProof/>
            <w:sz w:val="24"/>
          </w:rPr>
          <w:t>五、基金财产的保管</w:t>
        </w:r>
        <w:bookmarkStart w:id="2" w:name="_Hlt130398333"/>
        <w:bookmarkStart w:id="3" w:name="_Hlt130398332"/>
        <w:r w:rsidR="00E53946">
          <w:rPr>
            <w:rFonts w:ascii="宋体" w:hAnsi="宋体" w:hint="eastAsia"/>
            <w:noProof/>
            <w:sz w:val="24"/>
          </w:rPr>
          <w:tab/>
        </w:r>
        <w:bookmarkEnd w:id="2"/>
        <w:bookmarkEnd w:id="3"/>
        <w:r w:rsidR="00E53946">
          <w:rPr>
            <w:rFonts w:ascii="宋体" w:hAnsi="宋体" w:hint="eastAsia"/>
            <w:noProof/>
            <w:sz w:val="24"/>
          </w:rPr>
          <w:fldChar w:fldCharType="begin"/>
        </w:r>
        <w:r w:rsidR="00E53946">
          <w:rPr>
            <w:rFonts w:ascii="宋体" w:hAnsi="宋体" w:hint="eastAsia"/>
            <w:noProof/>
            <w:sz w:val="24"/>
          </w:rPr>
          <w:instrText xml:space="preserve"> PAGEREF _Toc124325889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10</w:t>
        </w:r>
        <w:r w:rsidR="00E53946">
          <w:rPr>
            <w:rFonts w:ascii="宋体" w:hAnsi="宋体" w:hint="eastAsia"/>
            <w:noProof/>
            <w:sz w:val="24"/>
          </w:rPr>
          <w:fldChar w:fldCharType="end"/>
        </w:r>
      </w:hyperlink>
    </w:p>
    <w:p w14:paraId="7E10B69D" w14:textId="1EC309AA" w:rsidR="001F0793" w:rsidRDefault="00203813">
      <w:pPr>
        <w:pStyle w:val="23"/>
        <w:tabs>
          <w:tab w:val="right" w:leader="dot" w:pos="8494"/>
        </w:tabs>
        <w:spacing w:line="360" w:lineRule="auto"/>
        <w:rPr>
          <w:rFonts w:ascii="宋体" w:hAnsi="宋体"/>
          <w:noProof/>
          <w:sz w:val="24"/>
        </w:rPr>
      </w:pPr>
      <w:hyperlink w:anchor="_Toc124325890" w:history="1">
        <w:r w:rsidR="00E53946">
          <w:rPr>
            <w:rStyle w:val="af1"/>
            <w:rFonts w:ascii="宋体" w:hAnsi="宋体" w:hint="eastAsia"/>
            <w:noProof/>
            <w:sz w:val="24"/>
          </w:rPr>
          <w:t>六、指令的发送、确认及执行</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_Toc124325890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14</w:t>
        </w:r>
        <w:r w:rsidR="00E53946">
          <w:rPr>
            <w:rFonts w:ascii="宋体" w:hAnsi="宋体" w:hint="eastAsia"/>
            <w:noProof/>
            <w:sz w:val="24"/>
          </w:rPr>
          <w:fldChar w:fldCharType="end"/>
        </w:r>
      </w:hyperlink>
    </w:p>
    <w:p w14:paraId="623AB2B9" w14:textId="277733D6" w:rsidR="001F0793" w:rsidRDefault="00203813">
      <w:pPr>
        <w:pStyle w:val="23"/>
        <w:tabs>
          <w:tab w:val="right" w:leader="dot" w:pos="8494"/>
        </w:tabs>
        <w:spacing w:line="360" w:lineRule="auto"/>
        <w:rPr>
          <w:rFonts w:ascii="宋体" w:hAnsi="宋体"/>
          <w:noProof/>
          <w:sz w:val="24"/>
        </w:rPr>
      </w:pPr>
      <w:hyperlink w:anchor="_Toc124325891" w:history="1">
        <w:r w:rsidR="00E53946">
          <w:rPr>
            <w:rStyle w:val="af1"/>
            <w:rFonts w:ascii="宋体" w:hAnsi="宋体" w:hint="eastAsia"/>
            <w:noProof/>
            <w:sz w:val="24"/>
          </w:rPr>
          <w:t>七、交易及清算</w:t>
        </w:r>
        <w:bookmarkStart w:id="4" w:name="_Hlt497143548"/>
        <w:bookmarkStart w:id="5" w:name="_Hlt497143549"/>
        <w:r w:rsidR="00E53946">
          <w:rPr>
            <w:rStyle w:val="af1"/>
            <w:rFonts w:ascii="宋体" w:hAnsi="宋体" w:hint="eastAsia"/>
            <w:noProof/>
            <w:sz w:val="24"/>
          </w:rPr>
          <w:t>交</w:t>
        </w:r>
        <w:bookmarkEnd w:id="4"/>
        <w:bookmarkEnd w:id="5"/>
        <w:r w:rsidR="00E53946">
          <w:rPr>
            <w:rStyle w:val="af1"/>
            <w:rFonts w:ascii="宋体" w:hAnsi="宋体" w:hint="eastAsia"/>
            <w:noProof/>
            <w:sz w:val="24"/>
          </w:rPr>
          <w:t>收安</w:t>
        </w:r>
        <w:bookmarkStart w:id="6" w:name="_Hlt419449173"/>
        <w:r w:rsidR="00E53946">
          <w:rPr>
            <w:rStyle w:val="af1"/>
            <w:rFonts w:ascii="宋体" w:hAnsi="宋体" w:hint="eastAsia"/>
            <w:noProof/>
            <w:sz w:val="24"/>
          </w:rPr>
          <w:t>排</w:t>
        </w:r>
        <w:bookmarkEnd w:id="6"/>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_Toc124325891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16</w:t>
        </w:r>
        <w:r w:rsidR="00E53946">
          <w:rPr>
            <w:rFonts w:ascii="宋体" w:hAnsi="宋体" w:hint="eastAsia"/>
            <w:noProof/>
            <w:sz w:val="24"/>
          </w:rPr>
          <w:fldChar w:fldCharType="end"/>
        </w:r>
      </w:hyperlink>
    </w:p>
    <w:p w14:paraId="00E74FA2" w14:textId="1D871031" w:rsidR="001F0793" w:rsidRDefault="00203813">
      <w:pPr>
        <w:pStyle w:val="23"/>
        <w:tabs>
          <w:tab w:val="right" w:leader="dot" w:pos="8494"/>
        </w:tabs>
        <w:spacing w:line="360" w:lineRule="auto"/>
        <w:rPr>
          <w:rFonts w:ascii="宋体" w:hAnsi="宋体"/>
          <w:noProof/>
          <w:sz w:val="24"/>
        </w:rPr>
      </w:pPr>
      <w:hyperlink w:anchor="_Toc124325892" w:history="1">
        <w:r w:rsidR="00E53946">
          <w:rPr>
            <w:rStyle w:val="af1"/>
            <w:rFonts w:ascii="宋体" w:hAnsi="宋体" w:hint="eastAsia"/>
            <w:noProof/>
            <w:sz w:val="24"/>
          </w:rPr>
          <w:t>八、基金资产净值</w:t>
        </w:r>
        <w:bookmarkStart w:id="7" w:name="_Hlt419449178"/>
        <w:r w:rsidR="00E53946">
          <w:rPr>
            <w:rStyle w:val="af1"/>
            <w:rFonts w:ascii="宋体" w:hAnsi="宋体" w:hint="eastAsia"/>
            <w:noProof/>
            <w:sz w:val="24"/>
          </w:rPr>
          <w:t>计</w:t>
        </w:r>
        <w:bookmarkEnd w:id="7"/>
        <w:r w:rsidR="00E53946">
          <w:rPr>
            <w:rStyle w:val="af1"/>
            <w:rFonts w:ascii="宋体" w:hAnsi="宋体" w:hint="eastAsia"/>
            <w:noProof/>
            <w:sz w:val="24"/>
          </w:rPr>
          <w:t>算和会计核算</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_Toc124325892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20</w:t>
        </w:r>
        <w:r w:rsidR="00E53946">
          <w:rPr>
            <w:rFonts w:ascii="宋体" w:hAnsi="宋体" w:hint="eastAsia"/>
            <w:noProof/>
            <w:sz w:val="24"/>
          </w:rPr>
          <w:fldChar w:fldCharType="end"/>
        </w:r>
      </w:hyperlink>
    </w:p>
    <w:p w14:paraId="44E6A6F5" w14:textId="6F85C571" w:rsidR="001F0793" w:rsidRDefault="00203813">
      <w:pPr>
        <w:pStyle w:val="23"/>
        <w:tabs>
          <w:tab w:val="right" w:leader="dot" w:pos="8494"/>
        </w:tabs>
        <w:spacing w:line="360" w:lineRule="auto"/>
        <w:rPr>
          <w:rFonts w:ascii="宋体" w:hAnsi="宋体"/>
          <w:noProof/>
          <w:sz w:val="24"/>
        </w:rPr>
      </w:pPr>
      <w:hyperlink w:anchor="_Toc124325893" w:history="1">
        <w:r w:rsidR="00E53946">
          <w:rPr>
            <w:rStyle w:val="af1"/>
            <w:rFonts w:ascii="宋体" w:hAnsi="宋体" w:hint="eastAsia"/>
            <w:noProof/>
            <w:sz w:val="24"/>
          </w:rPr>
          <w:t>九、基金收益分配</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_Toc124325893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26</w:t>
        </w:r>
        <w:r w:rsidR="00E53946">
          <w:rPr>
            <w:rFonts w:ascii="宋体" w:hAnsi="宋体" w:hint="eastAsia"/>
            <w:noProof/>
            <w:sz w:val="24"/>
          </w:rPr>
          <w:fldChar w:fldCharType="end"/>
        </w:r>
      </w:hyperlink>
    </w:p>
    <w:p w14:paraId="5F9FEC2E" w14:textId="6F75F5FF" w:rsidR="001F0793" w:rsidRDefault="00203813">
      <w:pPr>
        <w:pStyle w:val="23"/>
        <w:tabs>
          <w:tab w:val="right" w:leader="dot" w:pos="8494"/>
        </w:tabs>
        <w:spacing w:line="360" w:lineRule="auto"/>
        <w:rPr>
          <w:rFonts w:ascii="宋体" w:hAnsi="宋体"/>
          <w:noProof/>
          <w:sz w:val="24"/>
        </w:rPr>
      </w:pPr>
      <w:hyperlink w:anchor="_Toc124325894" w:history="1">
        <w:r w:rsidR="00E53946">
          <w:rPr>
            <w:rStyle w:val="af1"/>
            <w:rFonts w:ascii="宋体" w:hAnsi="宋体" w:hint="eastAsia"/>
            <w:noProof/>
            <w:sz w:val="24"/>
          </w:rPr>
          <w:t>十、基金信息披露</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_Toc124325894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27</w:t>
        </w:r>
        <w:r w:rsidR="00E53946">
          <w:rPr>
            <w:rFonts w:ascii="宋体" w:hAnsi="宋体" w:hint="eastAsia"/>
            <w:noProof/>
            <w:sz w:val="24"/>
          </w:rPr>
          <w:fldChar w:fldCharType="end"/>
        </w:r>
      </w:hyperlink>
    </w:p>
    <w:p w14:paraId="15348A96" w14:textId="0EFED749" w:rsidR="001F0793" w:rsidRDefault="00203813">
      <w:pPr>
        <w:pStyle w:val="23"/>
        <w:tabs>
          <w:tab w:val="right" w:leader="dot" w:pos="8494"/>
        </w:tabs>
        <w:spacing w:line="360" w:lineRule="auto"/>
        <w:rPr>
          <w:rFonts w:ascii="宋体" w:hAnsi="宋体"/>
          <w:noProof/>
          <w:sz w:val="24"/>
        </w:rPr>
      </w:pPr>
      <w:hyperlink w:anchor="_Toc124325895" w:history="1">
        <w:r w:rsidR="00E53946">
          <w:rPr>
            <w:rStyle w:val="af1"/>
            <w:rFonts w:ascii="宋体" w:hAnsi="宋体" w:hint="eastAsia"/>
            <w:noProof/>
            <w:sz w:val="24"/>
          </w:rPr>
          <w:t>十一、基金费用</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_Toc124325895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29</w:t>
        </w:r>
        <w:r w:rsidR="00E53946">
          <w:rPr>
            <w:rFonts w:ascii="宋体" w:hAnsi="宋体" w:hint="eastAsia"/>
            <w:noProof/>
            <w:sz w:val="24"/>
          </w:rPr>
          <w:fldChar w:fldCharType="end"/>
        </w:r>
      </w:hyperlink>
    </w:p>
    <w:p w14:paraId="1BB56939" w14:textId="22C69C29" w:rsidR="001F0793" w:rsidRDefault="00203813">
      <w:pPr>
        <w:pStyle w:val="23"/>
        <w:tabs>
          <w:tab w:val="right" w:leader="dot" w:pos="8494"/>
        </w:tabs>
        <w:spacing w:line="360" w:lineRule="auto"/>
        <w:rPr>
          <w:rFonts w:ascii="宋体" w:hAnsi="宋体"/>
          <w:noProof/>
          <w:sz w:val="24"/>
        </w:rPr>
      </w:pPr>
      <w:hyperlink w:anchor="_Toc124325896" w:history="1">
        <w:r w:rsidR="00E53946">
          <w:rPr>
            <w:rStyle w:val="af1"/>
            <w:rFonts w:ascii="宋体" w:hAnsi="宋体" w:hint="eastAsia"/>
            <w:noProof/>
            <w:sz w:val="24"/>
          </w:rPr>
          <w:t>十二、基金份额持有人名册的保管</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_Toc124325896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31</w:t>
        </w:r>
        <w:r w:rsidR="00E53946">
          <w:rPr>
            <w:rFonts w:ascii="宋体" w:hAnsi="宋体" w:hint="eastAsia"/>
            <w:noProof/>
            <w:sz w:val="24"/>
          </w:rPr>
          <w:fldChar w:fldCharType="end"/>
        </w:r>
      </w:hyperlink>
    </w:p>
    <w:p w14:paraId="1992632F" w14:textId="1F15E7BD" w:rsidR="001F0793" w:rsidRDefault="00203813">
      <w:pPr>
        <w:pStyle w:val="23"/>
        <w:tabs>
          <w:tab w:val="right" w:leader="dot" w:pos="8494"/>
        </w:tabs>
        <w:spacing w:line="360" w:lineRule="auto"/>
        <w:rPr>
          <w:rFonts w:ascii="宋体" w:hAnsi="宋体"/>
          <w:noProof/>
          <w:sz w:val="24"/>
        </w:rPr>
      </w:pPr>
      <w:hyperlink w:anchor="_Toc124325897" w:history="1">
        <w:r w:rsidR="00E53946">
          <w:rPr>
            <w:rStyle w:val="af1"/>
            <w:rFonts w:ascii="宋体" w:hAnsi="宋体" w:hint="eastAsia"/>
            <w:noProof/>
            <w:sz w:val="24"/>
          </w:rPr>
          <w:t>十三、基金有关文件档案的保存</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_Toc124325897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31</w:t>
        </w:r>
        <w:r w:rsidR="00E53946">
          <w:rPr>
            <w:rFonts w:ascii="宋体" w:hAnsi="宋体" w:hint="eastAsia"/>
            <w:noProof/>
            <w:sz w:val="24"/>
          </w:rPr>
          <w:fldChar w:fldCharType="end"/>
        </w:r>
      </w:hyperlink>
    </w:p>
    <w:p w14:paraId="1FF3D3C0" w14:textId="098941A5" w:rsidR="001F0793" w:rsidRDefault="00203813">
      <w:pPr>
        <w:pStyle w:val="23"/>
        <w:tabs>
          <w:tab w:val="right" w:leader="dot" w:pos="8494"/>
        </w:tabs>
        <w:spacing w:line="360" w:lineRule="auto"/>
        <w:rPr>
          <w:rFonts w:ascii="宋体" w:hAnsi="宋体"/>
          <w:noProof/>
          <w:sz w:val="24"/>
        </w:rPr>
      </w:pPr>
      <w:hyperlink w:anchor="_Toc124325898" w:history="1">
        <w:r w:rsidR="00E53946">
          <w:rPr>
            <w:rStyle w:val="af1"/>
            <w:rFonts w:ascii="宋体" w:hAnsi="宋体" w:hint="eastAsia"/>
            <w:noProof/>
            <w:sz w:val="24"/>
          </w:rPr>
          <w:t>十四、基金管理人和基金托管人的更换</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_Toc124325898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32</w:t>
        </w:r>
        <w:r w:rsidR="00E53946">
          <w:rPr>
            <w:rFonts w:ascii="宋体" w:hAnsi="宋体" w:hint="eastAsia"/>
            <w:noProof/>
            <w:sz w:val="24"/>
          </w:rPr>
          <w:fldChar w:fldCharType="end"/>
        </w:r>
      </w:hyperlink>
    </w:p>
    <w:p w14:paraId="680F1FC6" w14:textId="2EE1ED48" w:rsidR="001F0793" w:rsidRDefault="00203813">
      <w:pPr>
        <w:pStyle w:val="23"/>
        <w:tabs>
          <w:tab w:val="right" w:leader="dot" w:pos="8494"/>
        </w:tabs>
        <w:spacing w:line="360" w:lineRule="auto"/>
        <w:rPr>
          <w:rFonts w:ascii="宋体" w:hAnsi="宋体"/>
          <w:noProof/>
          <w:sz w:val="24"/>
        </w:rPr>
      </w:pPr>
      <w:hyperlink w:anchor="_Toc124325899" w:history="1">
        <w:r w:rsidR="00E53946">
          <w:rPr>
            <w:rStyle w:val="af1"/>
            <w:rFonts w:ascii="宋体" w:hAnsi="宋体" w:hint="eastAsia"/>
            <w:noProof/>
            <w:sz w:val="24"/>
          </w:rPr>
          <w:t>十五、禁止</w:t>
        </w:r>
        <w:bookmarkStart w:id="8" w:name="_Hlt133480885"/>
        <w:bookmarkStart w:id="9" w:name="_Hlt133480886"/>
        <w:r w:rsidR="00E53946">
          <w:rPr>
            <w:rStyle w:val="af1"/>
            <w:rFonts w:ascii="宋体" w:hAnsi="宋体" w:hint="eastAsia"/>
            <w:noProof/>
            <w:sz w:val="24"/>
          </w:rPr>
          <w:t>行</w:t>
        </w:r>
        <w:bookmarkEnd w:id="8"/>
        <w:bookmarkEnd w:id="9"/>
        <w:r w:rsidR="00E53946">
          <w:rPr>
            <w:rStyle w:val="af1"/>
            <w:rFonts w:ascii="宋体" w:hAnsi="宋体" w:hint="eastAsia"/>
            <w:noProof/>
            <w:sz w:val="24"/>
          </w:rPr>
          <w:t>为</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_Toc124325899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34</w:t>
        </w:r>
        <w:r w:rsidR="00E53946">
          <w:rPr>
            <w:rFonts w:ascii="宋体" w:hAnsi="宋体" w:hint="eastAsia"/>
            <w:noProof/>
            <w:sz w:val="24"/>
          </w:rPr>
          <w:fldChar w:fldCharType="end"/>
        </w:r>
      </w:hyperlink>
    </w:p>
    <w:p w14:paraId="2742E385" w14:textId="7D98CEEF" w:rsidR="001F0793" w:rsidRDefault="00203813">
      <w:pPr>
        <w:pStyle w:val="23"/>
        <w:tabs>
          <w:tab w:val="right" w:leader="dot" w:pos="8494"/>
        </w:tabs>
        <w:spacing w:line="360" w:lineRule="auto"/>
        <w:rPr>
          <w:rFonts w:ascii="宋体" w:hAnsi="宋体"/>
          <w:noProof/>
          <w:sz w:val="24"/>
        </w:rPr>
      </w:pPr>
      <w:hyperlink w:anchor="_Toc124325900" w:history="1">
        <w:r w:rsidR="00E53946">
          <w:rPr>
            <w:rStyle w:val="af1"/>
            <w:rFonts w:ascii="宋体" w:hAnsi="宋体" w:hint="eastAsia"/>
            <w:noProof/>
            <w:sz w:val="24"/>
          </w:rPr>
          <w:t>十六、托管协议的变更、终止与基金财产的清算</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_Toc124325900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35</w:t>
        </w:r>
        <w:r w:rsidR="00E53946">
          <w:rPr>
            <w:rFonts w:ascii="宋体" w:hAnsi="宋体" w:hint="eastAsia"/>
            <w:noProof/>
            <w:sz w:val="24"/>
          </w:rPr>
          <w:fldChar w:fldCharType="end"/>
        </w:r>
      </w:hyperlink>
    </w:p>
    <w:p w14:paraId="4C1F3112" w14:textId="7C04FD7A" w:rsidR="001F0793" w:rsidRDefault="00203813">
      <w:pPr>
        <w:pStyle w:val="23"/>
        <w:tabs>
          <w:tab w:val="right" w:leader="dot" w:pos="8494"/>
        </w:tabs>
        <w:spacing w:line="360" w:lineRule="auto"/>
        <w:rPr>
          <w:rFonts w:ascii="宋体" w:hAnsi="宋体"/>
          <w:noProof/>
          <w:sz w:val="24"/>
        </w:rPr>
      </w:pPr>
      <w:hyperlink w:anchor="_Toc124325901" w:history="1">
        <w:r w:rsidR="00E53946">
          <w:rPr>
            <w:rStyle w:val="af1"/>
            <w:rFonts w:ascii="宋体" w:hAnsi="宋体" w:hint="eastAsia"/>
            <w:noProof/>
            <w:sz w:val="24"/>
          </w:rPr>
          <w:t>十七、违约责任</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_Toc124325901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36</w:t>
        </w:r>
        <w:r w:rsidR="00E53946">
          <w:rPr>
            <w:rFonts w:ascii="宋体" w:hAnsi="宋体" w:hint="eastAsia"/>
            <w:noProof/>
            <w:sz w:val="24"/>
          </w:rPr>
          <w:fldChar w:fldCharType="end"/>
        </w:r>
      </w:hyperlink>
    </w:p>
    <w:p w14:paraId="63AA4B84" w14:textId="3B50FE2B" w:rsidR="001F0793" w:rsidRDefault="00203813">
      <w:pPr>
        <w:pStyle w:val="23"/>
        <w:tabs>
          <w:tab w:val="right" w:leader="dot" w:pos="8494"/>
        </w:tabs>
        <w:spacing w:line="360" w:lineRule="auto"/>
        <w:rPr>
          <w:rFonts w:ascii="宋体" w:hAnsi="宋体"/>
          <w:noProof/>
          <w:sz w:val="24"/>
        </w:rPr>
      </w:pPr>
      <w:hyperlink w:anchor="_Toc124325902" w:history="1">
        <w:r w:rsidR="00E53946">
          <w:rPr>
            <w:rStyle w:val="af1"/>
            <w:rFonts w:ascii="宋体" w:hAnsi="宋体" w:hint="eastAsia"/>
            <w:noProof/>
            <w:sz w:val="24"/>
          </w:rPr>
          <w:t>十八、争议解决方式</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_Toc124325902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37</w:t>
        </w:r>
        <w:r w:rsidR="00E53946">
          <w:rPr>
            <w:rFonts w:ascii="宋体" w:hAnsi="宋体" w:hint="eastAsia"/>
            <w:noProof/>
            <w:sz w:val="24"/>
          </w:rPr>
          <w:fldChar w:fldCharType="end"/>
        </w:r>
      </w:hyperlink>
    </w:p>
    <w:p w14:paraId="171FE7D7" w14:textId="07D75995" w:rsidR="001F0793" w:rsidRDefault="00203813">
      <w:pPr>
        <w:pStyle w:val="23"/>
        <w:tabs>
          <w:tab w:val="right" w:leader="dot" w:pos="8494"/>
        </w:tabs>
        <w:spacing w:line="360" w:lineRule="auto"/>
        <w:rPr>
          <w:rFonts w:ascii="宋体" w:hAnsi="宋体"/>
          <w:noProof/>
          <w:sz w:val="24"/>
        </w:rPr>
      </w:pPr>
      <w:hyperlink w:anchor="_Toc124325903" w:history="1">
        <w:r w:rsidR="00E53946">
          <w:rPr>
            <w:rStyle w:val="af1"/>
            <w:rFonts w:ascii="宋体" w:hAnsi="宋体" w:hint="eastAsia"/>
            <w:noProof/>
            <w:sz w:val="24"/>
          </w:rPr>
          <w:t>十九、托管协议的效力</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_Toc124325903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38</w:t>
        </w:r>
        <w:r w:rsidR="00E53946">
          <w:rPr>
            <w:rFonts w:ascii="宋体" w:hAnsi="宋体" w:hint="eastAsia"/>
            <w:noProof/>
            <w:sz w:val="24"/>
          </w:rPr>
          <w:fldChar w:fldCharType="end"/>
        </w:r>
      </w:hyperlink>
    </w:p>
    <w:p w14:paraId="3E0DD143" w14:textId="4ACF81EB" w:rsidR="001F0793" w:rsidRDefault="00203813">
      <w:pPr>
        <w:pStyle w:val="23"/>
        <w:tabs>
          <w:tab w:val="right" w:leader="dot" w:pos="8494"/>
        </w:tabs>
        <w:spacing w:line="360" w:lineRule="auto"/>
        <w:rPr>
          <w:rFonts w:ascii="宋体" w:hAnsi="宋体"/>
          <w:noProof/>
          <w:sz w:val="24"/>
        </w:rPr>
      </w:pPr>
      <w:hyperlink w:anchor="_Toc124325904" w:history="1">
        <w:r w:rsidR="00E53946">
          <w:rPr>
            <w:rStyle w:val="af1"/>
            <w:rFonts w:ascii="宋体" w:hAnsi="宋体" w:hint="eastAsia"/>
            <w:noProof/>
            <w:sz w:val="24"/>
          </w:rPr>
          <w:t>二十、其他事项</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_Toc124325904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38</w:t>
        </w:r>
        <w:r w:rsidR="00E53946">
          <w:rPr>
            <w:rFonts w:ascii="宋体" w:hAnsi="宋体" w:hint="eastAsia"/>
            <w:noProof/>
            <w:sz w:val="24"/>
          </w:rPr>
          <w:fldChar w:fldCharType="end"/>
        </w:r>
      </w:hyperlink>
    </w:p>
    <w:p w14:paraId="3321CCFC" w14:textId="64EB1760" w:rsidR="001F0793" w:rsidRDefault="00203813">
      <w:pPr>
        <w:pStyle w:val="23"/>
        <w:tabs>
          <w:tab w:val="right" w:leader="dot" w:pos="8494"/>
        </w:tabs>
        <w:spacing w:line="360" w:lineRule="auto"/>
        <w:rPr>
          <w:rFonts w:ascii="宋体" w:hAnsi="宋体"/>
          <w:noProof/>
          <w:sz w:val="24"/>
        </w:rPr>
      </w:pPr>
      <w:hyperlink w:anchor="_Toc124325905" w:history="1">
        <w:r w:rsidR="00E53946">
          <w:rPr>
            <w:rStyle w:val="af1"/>
            <w:rFonts w:ascii="宋体" w:hAnsi="宋体" w:hint="eastAsia"/>
            <w:noProof/>
            <w:sz w:val="24"/>
          </w:rPr>
          <w:t>二十一、托管协议的签订</w:t>
        </w:r>
        <w:r w:rsidR="00E53946">
          <w:rPr>
            <w:rFonts w:ascii="宋体" w:hAnsi="宋体" w:hint="eastAsia"/>
            <w:noProof/>
            <w:sz w:val="24"/>
          </w:rPr>
          <w:tab/>
        </w:r>
        <w:r w:rsidR="00E53946">
          <w:rPr>
            <w:rFonts w:ascii="宋体" w:hAnsi="宋体" w:hint="eastAsia"/>
            <w:noProof/>
            <w:sz w:val="24"/>
          </w:rPr>
          <w:fldChar w:fldCharType="begin"/>
        </w:r>
        <w:r w:rsidR="00E53946">
          <w:rPr>
            <w:rFonts w:ascii="宋体" w:hAnsi="宋体" w:hint="eastAsia"/>
            <w:noProof/>
            <w:sz w:val="24"/>
          </w:rPr>
          <w:instrText xml:space="preserve"> PAGEREF _Toc124325905 \h </w:instrText>
        </w:r>
        <w:r w:rsidR="00E53946">
          <w:rPr>
            <w:rFonts w:ascii="宋体" w:hAnsi="宋体" w:hint="eastAsia"/>
            <w:noProof/>
            <w:sz w:val="24"/>
          </w:rPr>
        </w:r>
        <w:r w:rsidR="00E53946">
          <w:rPr>
            <w:rFonts w:ascii="宋体" w:hAnsi="宋体" w:hint="eastAsia"/>
            <w:noProof/>
            <w:sz w:val="24"/>
          </w:rPr>
          <w:fldChar w:fldCharType="separate"/>
        </w:r>
        <w:r w:rsidR="00420C1B">
          <w:rPr>
            <w:rFonts w:ascii="宋体" w:hAnsi="宋体"/>
            <w:noProof/>
            <w:sz w:val="24"/>
          </w:rPr>
          <w:t>39</w:t>
        </w:r>
        <w:r w:rsidR="00E53946">
          <w:rPr>
            <w:rFonts w:ascii="宋体" w:hAnsi="宋体" w:hint="eastAsia"/>
            <w:noProof/>
            <w:sz w:val="24"/>
          </w:rPr>
          <w:fldChar w:fldCharType="end"/>
        </w:r>
      </w:hyperlink>
    </w:p>
    <w:p w14:paraId="32C1AAA0" w14:textId="77777777" w:rsidR="001F0793" w:rsidRDefault="00E53946">
      <w:pPr>
        <w:spacing w:line="360" w:lineRule="auto"/>
        <w:rPr>
          <w:rFonts w:ascii="宋体" w:hAnsi="宋体"/>
          <w:sz w:val="28"/>
        </w:rPr>
      </w:pPr>
      <w:r>
        <w:rPr>
          <w:rFonts w:ascii="宋体" w:hAnsi="宋体" w:hint="eastAsia"/>
          <w:sz w:val="28"/>
        </w:rPr>
        <w:fldChar w:fldCharType="end"/>
      </w:r>
    </w:p>
    <w:p w14:paraId="4ABB961D" w14:textId="77777777" w:rsidR="001F0793" w:rsidRDefault="00E53946">
      <w:pPr>
        <w:widowControl/>
        <w:jc w:val="left"/>
        <w:rPr>
          <w:rFonts w:ascii="宋体" w:hAnsi="宋体"/>
          <w:sz w:val="28"/>
        </w:rPr>
      </w:pPr>
      <w:r>
        <w:rPr>
          <w:rFonts w:ascii="宋体" w:hAnsi="宋体"/>
          <w:sz w:val="28"/>
        </w:rPr>
        <w:br w:type="page"/>
      </w:r>
    </w:p>
    <w:p w14:paraId="197AB625" w14:textId="77777777" w:rsidR="001F0793" w:rsidRDefault="001F0793">
      <w:pPr>
        <w:spacing w:line="360" w:lineRule="auto"/>
        <w:rPr>
          <w:rFonts w:ascii="宋体" w:hAnsi="宋体"/>
          <w:sz w:val="24"/>
        </w:rPr>
      </w:pPr>
    </w:p>
    <w:p w14:paraId="13AA7A97" w14:textId="12E95F3C" w:rsidR="001F0793" w:rsidRDefault="00E5394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鉴于广发基金管理有限公司系一家依照中国法律合法成立并有效存续的有限责任公司，按照相关法律法规的规定具备担任基金管理人的资格和能力，拟募集发行广</w:t>
      </w:r>
      <w:proofErr w:type="gramStart"/>
      <w:r>
        <w:rPr>
          <w:rFonts w:ascii="宋体" w:hAnsi="宋体" w:cs="Arial" w:hint="eastAsia"/>
          <w:kern w:val="0"/>
          <w:sz w:val="24"/>
        </w:rPr>
        <w:t>发</w:t>
      </w:r>
      <w:r w:rsidR="006058E1">
        <w:rPr>
          <w:rFonts w:ascii="宋体" w:hAnsi="宋体" w:cs="Arial" w:hint="eastAsia"/>
          <w:kern w:val="0"/>
          <w:sz w:val="24"/>
        </w:rPr>
        <w:t>创业板指数</w:t>
      </w:r>
      <w:proofErr w:type="gramEnd"/>
      <w:r w:rsidR="006058E1">
        <w:rPr>
          <w:rFonts w:ascii="宋体" w:hAnsi="宋体" w:cs="Arial" w:hint="eastAsia"/>
          <w:kern w:val="0"/>
          <w:sz w:val="24"/>
        </w:rPr>
        <w:t>增强型</w:t>
      </w:r>
      <w:r>
        <w:rPr>
          <w:rFonts w:ascii="宋体" w:hAnsi="宋体" w:cs="Arial" w:hint="eastAsia"/>
          <w:kern w:val="0"/>
          <w:sz w:val="24"/>
        </w:rPr>
        <w:t>证券投资基金；</w:t>
      </w:r>
    </w:p>
    <w:p w14:paraId="0E2DC1D5" w14:textId="77777777" w:rsidR="001F0793" w:rsidRDefault="00E5394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0C71CD17" w14:textId="2ECB5C8B" w:rsidR="001F0793" w:rsidRDefault="00E5394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鉴于广发基金管理有限公司拟担任广</w:t>
      </w:r>
      <w:proofErr w:type="gramStart"/>
      <w:r>
        <w:rPr>
          <w:rFonts w:ascii="宋体" w:hAnsi="宋体" w:cs="Arial" w:hint="eastAsia"/>
          <w:kern w:val="0"/>
          <w:sz w:val="24"/>
        </w:rPr>
        <w:t>发</w:t>
      </w:r>
      <w:r w:rsidR="006058E1">
        <w:rPr>
          <w:rFonts w:ascii="宋体" w:hAnsi="宋体" w:cs="Arial" w:hint="eastAsia"/>
          <w:kern w:val="0"/>
          <w:sz w:val="24"/>
        </w:rPr>
        <w:t>创业板指数</w:t>
      </w:r>
      <w:proofErr w:type="gramEnd"/>
      <w:r w:rsidR="006058E1">
        <w:rPr>
          <w:rFonts w:ascii="宋体" w:hAnsi="宋体" w:cs="Arial" w:hint="eastAsia"/>
          <w:kern w:val="0"/>
          <w:sz w:val="24"/>
        </w:rPr>
        <w:t>增强型</w:t>
      </w:r>
      <w:r>
        <w:rPr>
          <w:rFonts w:ascii="宋体" w:hAnsi="宋体" w:cs="Arial" w:hint="eastAsia"/>
          <w:kern w:val="0"/>
          <w:sz w:val="24"/>
        </w:rPr>
        <w:t>证券投资基金的基金管理人，中国建设银行股份有限公司拟担任广</w:t>
      </w:r>
      <w:proofErr w:type="gramStart"/>
      <w:r>
        <w:rPr>
          <w:rFonts w:ascii="宋体" w:hAnsi="宋体" w:cs="Arial" w:hint="eastAsia"/>
          <w:kern w:val="0"/>
          <w:sz w:val="24"/>
        </w:rPr>
        <w:t>发</w:t>
      </w:r>
      <w:r w:rsidR="006058E1">
        <w:rPr>
          <w:rFonts w:ascii="宋体" w:hAnsi="宋体" w:cs="Arial" w:hint="eastAsia"/>
          <w:kern w:val="0"/>
          <w:sz w:val="24"/>
        </w:rPr>
        <w:t>创业板指数</w:t>
      </w:r>
      <w:proofErr w:type="gramEnd"/>
      <w:r w:rsidR="006058E1">
        <w:rPr>
          <w:rFonts w:ascii="宋体" w:hAnsi="宋体" w:cs="Arial" w:hint="eastAsia"/>
          <w:kern w:val="0"/>
          <w:sz w:val="24"/>
        </w:rPr>
        <w:t>增强型</w:t>
      </w:r>
      <w:r>
        <w:rPr>
          <w:rFonts w:ascii="宋体" w:hAnsi="宋体" w:cs="Arial" w:hint="eastAsia"/>
          <w:kern w:val="0"/>
          <w:sz w:val="24"/>
        </w:rPr>
        <w:t>证券投资基金的基金托管人；</w:t>
      </w:r>
    </w:p>
    <w:p w14:paraId="04D5B47D" w14:textId="4AAA13D1" w:rsidR="001F0793" w:rsidRDefault="00E5394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为</w:t>
      </w:r>
      <w:proofErr w:type="gramStart"/>
      <w:r>
        <w:rPr>
          <w:rFonts w:ascii="宋体" w:hAnsi="宋体" w:cs="Arial" w:hint="eastAsia"/>
          <w:kern w:val="0"/>
          <w:sz w:val="24"/>
        </w:rPr>
        <w:t>明确广发</w:t>
      </w:r>
      <w:r w:rsidR="006058E1">
        <w:rPr>
          <w:rFonts w:ascii="宋体" w:hAnsi="宋体" w:cs="Arial" w:hint="eastAsia"/>
          <w:kern w:val="0"/>
          <w:sz w:val="24"/>
        </w:rPr>
        <w:t>创业板指数</w:t>
      </w:r>
      <w:proofErr w:type="gramEnd"/>
      <w:r w:rsidR="006058E1">
        <w:rPr>
          <w:rFonts w:ascii="宋体" w:hAnsi="宋体" w:cs="Arial" w:hint="eastAsia"/>
          <w:kern w:val="0"/>
          <w:sz w:val="24"/>
        </w:rPr>
        <w:t>增强型</w:t>
      </w:r>
      <w:r>
        <w:rPr>
          <w:rFonts w:ascii="宋体" w:hAnsi="宋体" w:cs="Arial" w:hint="eastAsia"/>
          <w:kern w:val="0"/>
          <w:sz w:val="24"/>
        </w:rPr>
        <w:t>证券投资基金的基金管理人和基金托管人之间的权利义务关系，特制订本托管协议；</w:t>
      </w:r>
    </w:p>
    <w:p w14:paraId="1579DDAE" w14:textId="79C7122A" w:rsidR="001F0793" w:rsidRDefault="00E53946">
      <w:pPr>
        <w:widowControl/>
        <w:adjustRightInd w:val="0"/>
        <w:snapToGrid w:val="0"/>
        <w:spacing w:line="360" w:lineRule="auto"/>
        <w:ind w:firstLineChars="200" w:firstLine="480"/>
        <w:rPr>
          <w:rFonts w:ascii="宋体" w:hAnsi="宋体" w:cs="Arial"/>
          <w:kern w:val="0"/>
          <w:sz w:val="24"/>
          <w:lang w:val="en-GB"/>
        </w:rPr>
      </w:pPr>
      <w:r>
        <w:rPr>
          <w:rFonts w:ascii="宋体" w:hAnsi="宋体" w:cs="Arial" w:hint="eastAsia"/>
          <w:kern w:val="0"/>
          <w:sz w:val="24"/>
          <w:lang w:val="en-GB"/>
        </w:rPr>
        <w:t>除非另有约定，《广发</w:t>
      </w:r>
      <w:r w:rsidR="006058E1">
        <w:rPr>
          <w:rFonts w:ascii="宋体" w:hAnsi="宋体" w:cs="Arial" w:hint="eastAsia"/>
          <w:kern w:val="0"/>
          <w:sz w:val="24"/>
          <w:lang w:val="en-GB"/>
        </w:rPr>
        <w:t>创业板指数增强型</w:t>
      </w:r>
      <w:r>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14:paraId="7F3A0D83" w14:textId="77777777" w:rsidR="001F0793" w:rsidRDefault="001F0793">
      <w:pPr>
        <w:spacing w:line="360" w:lineRule="auto"/>
        <w:rPr>
          <w:rFonts w:ascii="宋体" w:hAnsi="宋体"/>
          <w:sz w:val="24"/>
          <w:lang w:val="en-GB"/>
        </w:rPr>
      </w:pPr>
    </w:p>
    <w:p w14:paraId="7125485B" w14:textId="77777777" w:rsidR="001F0793" w:rsidRDefault="00E53946">
      <w:pPr>
        <w:pStyle w:val="2"/>
        <w:spacing w:line="360" w:lineRule="auto"/>
        <w:jc w:val="center"/>
        <w:rPr>
          <w:rFonts w:ascii="宋体" w:eastAsia="宋体" w:hAnsi="宋体"/>
        </w:rPr>
      </w:pPr>
      <w:bookmarkStart w:id="10" w:name="_Toc124325885"/>
      <w:r>
        <w:rPr>
          <w:rFonts w:ascii="宋体" w:eastAsia="宋体" w:hAnsi="宋体" w:hint="eastAsia"/>
        </w:rPr>
        <w:t>一、基金托管协议当事人</w:t>
      </w:r>
      <w:bookmarkEnd w:id="10"/>
    </w:p>
    <w:p w14:paraId="3E55CF4F"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（一）基金管理人</w:t>
      </w:r>
    </w:p>
    <w:p w14:paraId="7CFED41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名称：广发基金管理有限公司</w:t>
      </w:r>
    </w:p>
    <w:p w14:paraId="571BD17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注册地址：广东省珠海市横琴新区环岛东路3018号2608室</w:t>
      </w:r>
    </w:p>
    <w:p w14:paraId="613EE0B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办公地址：广东省广州市海珠区</w:t>
      </w:r>
      <w:proofErr w:type="gramStart"/>
      <w:r>
        <w:rPr>
          <w:rFonts w:ascii="宋体" w:hAnsi="宋体" w:cs="Arial" w:hint="eastAsia"/>
          <w:sz w:val="24"/>
        </w:rPr>
        <w:t>琶</w:t>
      </w:r>
      <w:proofErr w:type="gramEnd"/>
      <w:r>
        <w:rPr>
          <w:rFonts w:ascii="宋体" w:hAnsi="宋体" w:cs="Arial" w:hint="eastAsia"/>
          <w:sz w:val="24"/>
        </w:rPr>
        <w:t>洲大道东1号保利国际广场南塔31－33楼；广东省珠海市横琴新区环岛东路3018号2603-2622室</w:t>
      </w:r>
    </w:p>
    <w:p w14:paraId="4440F38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w:t>
      </w:r>
      <w:r>
        <w:rPr>
          <w:rFonts w:ascii="宋体" w:hAnsi="宋体" w:cs="Arial"/>
          <w:sz w:val="24"/>
        </w:rPr>
        <w:t>510308</w:t>
      </w:r>
    </w:p>
    <w:p w14:paraId="0ACB4A5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法定代表人：葛长伟</w:t>
      </w:r>
    </w:p>
    <w:p w14:paraId="33F01D0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w:t>
      </w:r>
      <w:r>
        <w:rPr>
          <w:rStyle w:val="read"/>
          <w:rFonts w:ascii="宋体" w:hAnsi="宋体" w:cs="Arial" w:hint="eastAsia"/>
          <w:sz w:val="24"/>
        </w:rPr>
        <w:t>2003年8月5日</w:t>
      </w:r>
    </w:p>
    <w:p w14:paraId="1D96C0E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批准设立机关及批准设立文号：中国证监会</w:t>
      </w:r>
      <w:proofErr w:type="gramStart"/>
      <w:r>
        <w:rPr>
          <w:rFonts w:ascii="宋体" w:hAnsi="宋体" w:cs="Arial" w:hint="eastAsia"/>
          <w:sz w:val="24"/>
        </w:rPr>
        <w:t>证监基字</w:t>
      </w:r>
      <w:proofErr w:type="gramEnd"/>
      <w:r>
        <w:rPr>
          <w:rStyle w:val="read"/>
          <w:rFonts w:ascii="宋体" w:hAnsi="宋体" w:cs="Arial" w:hint="eastAsia"/>
          <w:sz w:val="24"/>
        </w:rPr>
        <w:t>[</w:t>
      </w:r>
      <w:r>
        <w:rPr>
          <w:rStyle w:val="read"/>
          <w:rFonts w:ascii="宋体" w:hAnsi="宋体" w:cs="Arial"/>
          <w:sz w:val="24"/>
        </w:rPr>
        <w:t>2003</w:t>
      </w:r>
      <w:r>
        <w:rPr>
          <w:rStyle w:val="read"/>
          <w:rFonts w:ascii="宋体" w:hAnsi="宋体" w:cs="Arial" w:hint="eastAsia"/>
          <w:sz w:val="24"/>
        </w:rPr>
        <w:t>]</w:t>
      </w:r>
      <w:r>
        <w:rPr>
          <w:rStyle w:val="read"/>
          <w:rFonts w:ascii="宋体" w:hAnsi="宋体" w:cs="Arial"/>
          <w:sz w:val="24"/>
        </w:rPr>
        <w:t>91</w:t>
      </w:r>
      <w:r>
        <w:rPr>
          <w:rFonts w:ascii="宋体" w:hAnsi="宋体" w:cs="Arial" w:hint="eastAsia"/>
          <w:sz w:val="24"/>
        </w:rPr>
        <w:t>号</w:t>
      </w:r>
    </w:p>
    <w:p w14:paraId="3B73479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组织形式：有限责任公司</w:t>
      </w:r>
    </w:p>
    <w:p w14:paraId="508D63D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注册资本：14,097.8万元人民币</w:t>
      </w:r>
    </w:p>
    <w:p w14:paraId="5B3CD51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存续期间：持续经营</w:t>
      </w:r>
    </w:p>
    <w:p w14:paraId="47C8FD2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经营范围：基金募集、基金销售、资产管理和中国证监会许可的其他业务</w:t>
      </w:r>
    </w:p>
    <w:p w14:paraId="04A564F1"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（二）基金托管人</w:t>
      </w:r>
    </w:p>
    <w:p w14:paraId="581E30D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名称：中国建设银行股份有限公司(简称：中国建设银行)</w:t>
      </w:r>
    </w:p>
    <w:p w14:paraId="19457AC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住所：北京市西城区金融大街25号</w:t>
      </w:r>
    </w:p>
    <w:p w14:paraId="1984251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办公地址：北京市西城区闹市口大街1号院1号楼</w:t>
      </w:r>
    </w:p>
    <w:p w14:paraId="7D8FECC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邮政编码：100033</w:t>
      </w:r>
    </w:p>
    <w:p w14:paraId="157B46B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法定代表人：张金良</w:t>
      </w:r>
    </w:p>
    <w:p w14:paraId="3554ABC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成立日期：2004年09月17日</w:t>
      </w:r>
    </w:p>
    <w:p w14:paraId="0C4ECE3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基金托管业务批准文号：中国证监会</w:t>
      </w:r>
      <w:proofErr w:type="gramStart"/>
      <w:r>
        <w:rPr>
          <w:rFonts w:ascii="宋体" w:hAnsi="宋体" w:cs="Arial" w:hint="eastAsia"/>
          <w:sz w:val="24"/>
        </w:rPr>
        <w:t>证监基字</w:t>
      </w:r>
      <w:proofErr w:type="gramEnd"/>
      <w:r>
        <w:rPr>
          <w:rFonts w:ascii="宋体" w:hAnsi="宋体" w:cs="Arial" w:hint="eastAsia"/>
          <w:sz w:val="24"/>
        </w:rPr>
        <w:t>[1998</w:t>
      </w:r>
      <w:bookmarkStart w:id="11" w:name="OLE_LINK3"/>
      <w:r>
        <w:rPr>
          <w:rFonts w:ascii="宋体" w:hAnsi="宋体" w:cs="Arial" w:hint="eastAsia"/>
          <w:sz w:val="24"/>
        </w:rPr>
        <w:t>]</w:t>
      </w:r>
      <w:bookmarkEnd w:id="11"/>
      <w:r>
        <w:rPr>
          <w:rFonts w:ascii="宋体" w:hAnsi="宋体" w:cs="Arial" w:hint="eastAsia"/>
          <w:sz w:val="24"/>
        </w:rPr>
        <w:t>12号</w:t>
      </w:r>
    </w:p>
    <w:p w14:paraId="464983B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组织形式：股份有限公司</w:t>
      </w:r>
    </w:p>
    <w:p w14:paraId="0D4F1A1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14:paraId="2EA89B9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存续期间：持续经营</w:t>
      </w:r>
    </w:p>
    <w:p w14:paraId="15655196" w14:textId="77777777" w:rsidR="001F0793" w:rsidRDefault="00E53946">
      <w:pPr>
        <w:tabs>
          <w:tab w:val="left" w:pos="540"/>
        </w:tabs>
        <w:adjustRightInd w:val="0"/>
        <w:snapToGrid w:val="0"/>
        <w:spacing w:line="360" w:lineRule="auto"/>
        <w:ind w:firstLineChars="200" w:firstLine="480"/>
        <w:rPr>
          <w:rFonts w:ascii="宋体" w:hAnsi="宋体" w:cs="Arial"/>
          <w:sz w:val="24"/>
        </w:rPr>
      </w:pPr>
      <w:r>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F7B2A5" w14:textId="77777777" w:rsidR="001F0793" w:rsidRDefault="001F0793">
      <w:pPr>
        <w:spacing w:line="360" w:lineRule="auto"/>
        <w:rPr>
          <w:rFonts w:ascii="宋体" w:hAnsi="宋体"/>
          <w:sz w:val="24"/>
        </w:rPr>
      </w:pPr>
    </w:p>
    <w:p w14:paraId="3B8D44E6" w14:textId="77777777" w:rsidR="001F0793" w:rsidRDefault="00E53946">
      <w:pPr>
        <w:pStyle w:val="2"/>
        <w:spacing w:line="360" w:lineRule="auto"/>
        <w:jc w:val="center"/>
        <w:rPr>
          <w:rFonts w:ascii="宋体" w:eastAsia="宋体" w:hAnsi="宋体"/>
          <w:sz w:val="30"/>
        </w:rPr>
      </w:pPr>
      <w:bookmarkStart w:id="12" w:name="_Toc124325886"/>
      <w:r>
        <w:rPr>
          <w:rFonts w:ascii="宋体" w:eastAsia="宋体" w:hAnsi="宋体" w:hint="eastAsia"/>
          <w:sz w:val="30"/>
        </w:rPr>
        <w:t>二、基金托管协议的依据、目的和原则</w:t>
      </w:r>
      <w:bookmarkEnd w:id="12"/>
    </w:p>
    <w:p w14:paraId="35990731" w14:textId="77777777" w:rsidR="001F0793" w:rsidRDefault="00E53946">
      <w:pPr>
        <w:adjustRightInd w:val="0"/>
        <w:snapToGrid w:val="0"/>
        <w:spacing w:line="360" w:lineRule="auto"/>
        <w:ind w:firstLineChars="200" w:firstLine="480"/>
        <w:rPr>
          <w:rFonts w:ascii="宋体" w:hAnsi="宋体"/>
          <w:sz w:val="24"/>
          <w:szCs w:val="30"/>
        </w:rPr>
      </w:pPr>
      <w:r>
        <w:rPr>
          <w:rFonts w:ascii="宋体" w:hAnsi="宋体" w:cs="Arial" w:hint="eastAsia"/>
          <w:sz w:val="24"/>
        </w:rPr>
        <w:t>（一）订立托管协议的依据</w:t>
      </w:r>
    </w:p>
    <w:p w14:paraId="4AB5C24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本协议依据《中华人民共和国证券投资基金法》(以下简称“《基金法》”)等有关法律法规、《基金合同》及其他有关规定制订。</w:t>
      </w:r>
    </w:p>
    <w:p w14:paraId="39EA478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（二）订立托管协议的目的</w:t>
      </w:r>
    </w:p>
    <w:p w14:paraId="6BC7C370" w14:textId="77777777" w:rsidR="001F0793" w:rsidRDefault="00E53946">
      <w:pPr>
        <w:adjustRightInd w:val="0"/>
        <w:snapToGrid w:val="0"/>
        <w:spacing w:line="360" w:lineRule="auto"/>
        <w:ind w:firstLineChars="200" w:firstLine="480"/>
        <w:rPr>
          <w:rFonts w:ascii="宋体" w:hAnsi="宋体"/>
          <w:sz w:val="24"/>
          <w:szCs w:val="30"/>
        </w:rPr>
      </w:pPr>
      <w:r>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9A18A0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（三）订立托管协议的原则</w:t>
      </w:r>
    </w:p>
    <w:p w14:paraId="7538655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基金管理人和基金托管人本着平等自愿、诚实信用、充分保护基金份额持有人</w:t>
      </w:r>
      <w:r>
        <w:rPr>
          <w:rFonts w:ascii="宋体" w:hAnsi="宋体" w:cs="Arial" w:hint="eastAsia"/>
          <w:sz w:val="24"/>
        </w:rPr>
        <w:lastRenderedPageBreak/>
        <w:t>合法权益的原则，经协商一致，签订本协议。</w:t>
      </w:r>
    </w:p>
    <w:p w14:paraId="0F9482B1" w14:textId="77777777" w:rsidR="001F0793" w:rsidRDefault="001F0793">
      <w:pPr>
        <w:spacing w:line="360" w:lineRule="auto"/>
        <w:rPr>
          <w:rFonts w:ascii="宋体" w:hAnsi="宋体"/>
          <w:sz w:val="24"/>
        </w:rPr>
      </w:pPr>
    </w:p>
    <w:p w14:paraId="4F6669E3" w14:textId="77777777" w:rsidR="001F0793" w:rsidRDefault="00E53946">
      <w:pPr>
        <w:pStyle w:val="2"/>
        <w:spacing w:line="360" w:lineRule="auto"/>
        <w:jc w:val="center"/>
        <w:rPr>
          <w:rFonts w:ascii="宋体" w:eastAsia="宋体" w:hAnsi="宋体"/>
          <w:sz w:val="30"/>
        </w:rPr>
      </w:pPr>
      <w:bookmarkStart w:id="13" w:name="_Toc124325887"/>
      <w:r>
        <w:rPr>
          <w:rFonts w:ascii="宋体" w:eastAsia="宋体" w:hAnsi="宋体" w:hint="eastAsia"/>
          <w:sz w:val="30"/>
        </w:rPr>
        <w:t>三、基金托管人对基金管理人的业务监督和核查</w:t>
      </w:r>
      <w:bookmarkEnd w:id="13"/>
    </w:p>
    <w:p w14:paraId="26F8FC0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Pr>
          <w:rFonts w:ascii="宋体" w:hAnsi="宋体" w:cs="Arial" w:hint="eastAsia"/>
          <w:sz w:val="24"/>
        </w:rPr>
        <w:t>库提供</w:t>
      </w:r>
      <w:proofErr w:type="gramEnd"/>
      <w:r>
        <w:rPr>
          <w:rFonts w:ascii="宋体" w:hAnsi="宋体" w:cs="Arial" w:hint="eastAsia"/>
          <w:sz w:val="24"/>
        </w:rPr>
        <w:t>给基金托管人，基金管理人可以根据实际情况的变化，对标的证券</w:t>
      </w:r>
      <w:proofErr w:type="gramStart"/>
      <w:r>
        <w:rPr>
          <w:rFonts w:ascii="宋体" w:hAnsi="宋体" w:cs="Arial" w:hint="eastAsia"/>
          <w:sz w:val="24"/>
        </w:rPr>
        <w:t>库予以</w:t>
      </w:r>
      <w:proofErr w:type="gramEnd"/>
      <w:r>
        <w:rPr>
          <w:rFonts w:ascii="宋体" w:hAnsi="宋体" w:cs="Arial" w:hint="eastAsia"/>
          <w:sz w:val="24"/>
        </w:rPr>
        <w:t>更新和调整并及时书面通知基金托管人。基金托管人根据上述投资范围对基金实际投资是否符合《基金合同》关于证券选择标准的约定进行监督。</w:t>
      </w:r>
    </w:p>
    <w:p w14:paraId="54A009F6"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本基金主要投资于标的指数（即创业板指数）成份股、备选成份股（</w:t>
      </w:r>
      <w:proofErr w:type="gramStart"/>
      <w:r w:rsidRPr="006058E1">
        <w:rPr>
          <w:rFonts w:ascii="宋体" w:hAnsi="宋体" w:cs="Arial" w:hint="eastAsia"/>
          <w:sz w:val="24"/>
        </w:rPr>
        <w:t>含存托</w:t>
      </w:r>
      <w:proofErr w:type="gramEnd"/>
      <w:r w:rsidRPr="006058E1">
        <w:rPr>
          <w:rFonts w:ascii="宋体" w:hAnsi="宋体" w:cs="Arial" w:hint="eastAsia"/>
          <w:sz w:val="24"/>
        </w:rPr>
        <w:t>凭证）。为更好地实现投资目标，本基金可少量投资于非成份股（包括</w:t>
      </w:r>
      <w:proofErr w:type="gramStart"/>
      <w:r w:rsidRPr="006058E1">
        <w:rPr>
          <w:rFonts w:ascii="宋体" w:hAnsi="宋体" w:cs="Arial" w:hint="eastAsia"/>
          <w:sz w:val="24"/>
        </w:rPr>
        <w:t>科创板</w:t>
      </w:r>
      <w:proofErr w:type="gramEnd"/>
      <w:r w:rsidRPr="006058E1">
        <w:rPr>
          <w:rFonts w:ascii="宋体" w:hAnsi="宋体" w:cs="Arial" w:hint="eastAsia"/>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sidRPr="006058E1">
        <w:rPr>
          <w:rFonts w:ascii="宋体" w:hAnsi="宋体" w:cs="Arial" w:hint="eastAsia"/>
          <w:sz w:val="24"/>
        </w:rPr>
        <w:t>券</w:t>
      </w:r>
      <w:proofErr w:type="gramEnd"/>
      <w:r w:rsidRPr="006058E1">
        <w:rPr>
          <w:rFonts w:ascii="宋体" w:hAnsi="宋体" w:cs="Arial" w:hint="eastAsia"/>
          <w:sz w:val="24"/>
        </w:rPr>
        <w:t>、超短期融资</w:t>
      </w:r>
      <w:proofErr w:type="gramStart"/>
      <w:r w:rsidRPr="006058E1">
        <w:rPr>
          <w:rFonts w:ascii="宋体" w:hAnsi="宋体" w:cs="Arial" w:hint="eastAsia"/>
          <w:sz w:val="24"/>
        </w:rPr>
        <w:t>券</w:t>
      </w:r>
      <w:proofErr w:type="gramEnd"/>
      <w:r w:rsidRPr="006058E1">
        <w:rPr>
          <w:rFonts w:ascii="宋体" w:hAnsi="宋体" w:cs="Arial" w:hint="eastAsia"/>
          <w:sz w:val="24"/>
        </w:rPr>
        <w:t>等）、股指期货、国债期货、股票期权、资产支持证券、银行存款、同业存单、债券回购、货币市场工具及中国证监会允许基金投资的其他金融工具，但须符合中国证监会的相关规定。</w:t>
      </w:r>
    </w:p>
    <w:p w14:paraId="1AAB17DB"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本基金可根据法律法规的规定参与融资、转融通证券出借业务。</w:t>
      </w:r>
    </w:p>
    <w:p w14:paraId="30BEFF35"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如法律法规或监管机构以后允许基金投资其他品种，基金管理人在履行适当程序后，可以将其纳入投资范围。</w:t>
      </w:r>
    </w:p>
    <w:p w14:paraId="2A515525"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本基金所持有的股票资产占基金资产的比例不低于80%，投资于标的指数成份股和备选成份股（</w:t>
      </w:r>
      <w:proofErr w:type="gramStart"/>
      <w:r w:rsidRPr="006058E1">
        <w:rPr>
          <w:rFonts w:ascii="宋体" w:hAnsi="宋体" w:cs="Arial" w:hint="eastAsia"/>
          <w:sz w:val="24"/>
        </w:rPr>
        <w:t>含存托</w:t>
      </w:r>
      <w:proofErr w:type="gramEnd"/>
      <w:r w:rsidRPr="006058E1">
        <w:rPr>
          <w:rFonts w:ascii="宋体" w:hAnsi="宋体" w:cs="Arial" w:hint="eastAsia"/>
          <w:sz w:val="24"/>
        </w:rPr>
        <w:t>凭证）的比例不低于非现金基金资产的80%；本基金每个交易日日终在扣除股指期货合约、国债期货合约、股票期权合约需缴纳的交易保证金后，现金或到期日在一年以内的政府债券投资比例不低于基金资产净值的5%，其中现金不包括结算备付金、存出保证金、应收申购款等。</w:t>
      </w:r>
    </w:p>
    <w:p w14:paraId="428F78CB" w14:textId="77777777" w:rsidR="00D5398D" w:rsidRDefault="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如法律法规或中国证监会变更投资品种的投资比例限制，基金管理人在履行适当程序后，可以调整上述投资品种的投资比例。</w:t>
      </w:r>
    </w:p>
    <w:p w14:paraId="4B8B212F" w14:textId="77777777" w:rsidR="001F0793" w:rsidRDefault="00E53946">
      <w:pPr>
        <w:adjustRightInd w:val="0"/>
        <w:snapToGrid w:val="0"/>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（二）基金托管人根据有关法律法规的规定及《基金合同》的约定，对基金投</w:t>
      </w:r>
      <w:r>
        <w:rPr>
          <w:rFonts w:ascii="宋体" w:hAnsi="宋体" w:hint="eastAsia"/>
          <w:sz w:val="24"/>
        </w:rPr>
        <w:lastRenderedPageBreak/>
        <w:t>资、融资比例进行监督。基金托管人按下述比例和调整期限进行监督：</w:t>
      </w:r>
    </w:p>
    <w:p w14:paraId="7CF25698"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（1）本基金所持有的股票资产占基金资产的比例不低于80%，其中投资于标的指数成份股和备选成份股（</w:t>
      </w:r>
      <w:proofErr w:type="gramStart"/>
      <w:r w:rsidRPr="006058E1">
        <w:rPr>
          <w:rFonts w:ascii="宋体" w:hAnsi="宋体" w:cs="Arial" w:hint="eastAsia"/>
          <w:sz w:val="24"/>
        </w:rPr>
        <w:t>含存托</w:t>
      </w:r>
      <w:proofErr w:type="gramEnd"/>
      <w:r w:rsidRPr="006058E1">
        <w:rPr>
          <w:rFonts w:ascii="宋体" w:hAnsi="宋体" w:cs="Arial" w:hint="eastAsia"/>
          <w:sz w:val="24"/>
        </w:rPr>
        <w:t>凭证）的比例不低于非现金基金资产的80%；</w:t>
      </w:r>
    </w:p>
    <w:p w14:paraId="77F0FDA0"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 xml:space="preserve">（2）每个交易日日终在扣除股指期货合约、国债期货合约、股票期权合约需缴纳的交易保证金后，保持不低于基金资产净值5%的现金或到期日在一年以内的政府债券，其中现金不包括结算备付金、存出保证金、应收申购款等； </w:t>
      </w:r>
    </w:p>
    <w:p w14:paraId="733EDF6E"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（3）本基金持有一家公司发行的证券，其市值不超过基金资产净值的10%，完全按照有关指数的构成比例进行证券投资的基金品种可以不受前述比例限制；</w:t>
      </w:r>
    </w:p>
    <w:p w14:paraId="4E0E65FD" w14:textId="5CF96228"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（4）本基金管理人管理</w:t>
      </w:r>
      <w:r>
        <w:rPr>
          <w:rFonts w:ascii="宋体" w:hAnsi="宋体" w:cs="Arial" w:hint="eastAsia"/>
          <w:sz w:val="24"/>
        </w:rPr>
        <w:t>且由本基金托管人托管</w:t>
      </w:r>
      <w:r w:rsidRPr="006058E1">
        <w:rPr>
          <w:rFonts w:ascii="宋体" w:hAnsi="宋体" w:cs="Arial" w:hint="eastAsia"/>
          <w:sz w:val="24"/>
        </w:rPr>
        <w:t>的全部基金持有一家公司发行的证券，不超过该证券的10%，完全按照有关指数的构成比例进行证券投资的基金品种可以不受前述比例限制；</w:t>
      </w:r>
    </w:p>
    <w:p w14:paraId="196B6B76"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（5）本基金</w:t>
      </w:r>
      <w:proofErr w:type="gramStart"/>
      <w:r w:rsidRPr="006058E1">
        <w:rPr>
          <w:rFonts w:ascii="宋体" w:hAnsi="宋体" w:cs="Arial" w:hint="eastAsia"/>
          <w:sz w:val="24"/>
        </w:rPr>
        <w:t>若参</w:t>
      </w:r>
      <w:proofErr w:type="gramEnd"/>
      <w:r w:rsidRPr="006058E1">
        <w:rPr>
          <w:rFonts w:ascii="宋体" w:hAnsi="宋体" w:cs="Arial" w:hint="eastAsia"/>
          <w:sz w:val="24"/>
        </w:rPr>
        <w:t>与股指期货交易，应当符合下列投资限制：</w:t>
      </w:r>
    </w:p>
    <w:p w14:paraId="49064B75"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在任何交易日日终，持有的买入股指期货合约价值，不得超过基金资产净值的10%；在任何交易日日终，持有的买入股指期货合约、国债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1189AD2F"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（6）本基金</w:t>
      </w:r>
      <w:proofErr w:type="gramStart"/>
      <w:r w:rsidRPr="006058E1">
        <w:rPr>
          <w:rFonts w:ascii="宋体" w:hAnsi="宋体" w:cs="Arial" w:hint="eastAsia"/>
          <w:sz w:val="24"/>
        </w:rPr>
        <w:t>若参</w:t>
      </w:r>
      <w:proofErr w:type="gramEnd"/>
      <w:r w:rsidRPr="006058E1">
        <w:rPr>
          <w:rFonts w:ascii="宋体" w:hAnsi="宋体" w:cs="Arial" w:hint="eastAsia"/>
          <w:sz w:val="24"/>
        </w:rPr>
        <w:t>与国债期货交易，应当符合下列投资限制：</w:t>
      </w:r>
    </w:p>
    <w:p w14:paraId="69C5AA34"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F1F8DB1"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（7）本基金</w:t>
      </w:r>
      <w:proofErr w:type="gramStart"/>
      <w:r w:rsidRPr="006058E1">
        <w:rPr>
          <w:rFonts w:ascii="宋体" w:hAnsi="宋体" w:cs="Arial" w:hint="eastAsia"/>
          <w:sz w:val="24"/>
        </w:rPr>
        <w:t>若参</w:t>
      </w:r>
      <w:proofErr w:type="gramEnd"/>
      <w:r w:rsidRPr="006058E1">
        <w:rPr>
          <w:rFonts w:ascii="宋体" w:hAnsi="宋体" w:cs="Arial" w:hint="eastAsia"/>
          <w:sz w:val="24"/>
        </w:rPr>
        <w:t>与股票期权交易，应当符合下列风险控制指标要求：</w:t>
      </w:r>
    </w:p>
    <w:p w14:paraId="588BA25B"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因未平仓的期权合约支付和收取的权利金总额不得超过基金资产净值的10%；</w:t>
      </w:r>
      <w:r w:rsidRPr="006058E1">
        <w:rPr>
          <w:rFonts w:ascii="宋体" w:hAnsi="宋体" w:cs="Arial" w:hint="eastAsia"/>
          <w:sz w:val="24"/>
        </w:rPr>
        <w:lastRenderedPageBreak/>
        <w:t>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FE05BD7"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（8）本基金投资于同一原始权益人的各类资产支持证券的比例，不得超过基金资产净值的10%；</w:t>
      </w:r>
    </w:p>
    <w:p w14:paraId="5D303EB1"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（9）本基金持有的全部资产支持证券，其市值不得超过基金资产净值的20%；</w:t>
      </w:r>
    </w:p>
    <w:p w14:paraId="1EE1E23F"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（10）本基金持有的同一（指同一信用级别）资产支持证券的比例，不得超过该资产支持证券规模的10%；</w:t>
      </w:r>
    </w:p>
    <w:p w14:paraId="5AB14B79" w14:textId="10628461"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（11）本基金管理人管理且由本基金托管人托管的全部基金投资于同一原始权益人的各类资产支持证券，不得超过其各类资产支持证券合计规模的10%；</w:t>
      </w:r>
    </w:p>
    <w:p w14:paraId="5EA950D3"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208E8FC3"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（13）基金财产参与股票发行申购，本基金所申报的金额不超过本基金的总资产，本基金所申报的股票数量不超过拟发行股票公司本次发行股票的总量；</w:t>
      </w:r>
    </w:p>
    <w:p w14:paraId="182DEEE7" w14:textId="5660B633"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14）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532DD33"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15）本基金参与转融通证券出借业务的，还须符合以下限制：出借证券资产不得超过基金资产净值的30%，其中出借期限在10个交易日以上的出借证券归为流动性受限资产；参与出借业务的单只证券不得超过基金持有该证券总量的50%；最近6个月内日均基金资产净值不得低于2亿元；证券出借的平均剩余期限不得超过30天，平均剩余期限按照市值加权平均计算；</w:t>
      </w:r>
    </w:p>
    <w:p w14:paraId="7B5CB9BA" w14:textId="77777777"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FF03394" w14:textId="1CCF1DFC"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lastRenderedPageBreak/>
        <w:t>（1</w:t>
      </w:r>
      <w:r w:rsidR="000956F8">
        <w:rPr>
          <w:rFonts w:ascii="宋体" w:hAnsi="宋体" w:cs="Arial"/>
          <w:sz w:val="24"/>
        </w:rPr>
        <w:t>7</w:t>
      </w:r>
      <w:r w:rsidRPr="006058E1">
        <w:rPr>
          <w:rFonts w:ascii="宋体" w:hAnsi="宋体" w:cs="Arial" w:hint="eastAsia"/>
          <w:sz w:val="24"/>
        </w:rPr>
        <w:t>）基金总资产不得超过基金净资产的140%；</w:t>
      </w:r>
    </w:p>
    <w:p w14:paraId="1CF78B89" w14:textId="28E4E05F"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（1</w:t>
      </w:r>
      <w:r w:rsidR="000956F8">
        <w:rPr>
          <w:rFonts w:ascii="宋体" w:hAnsi="宋体" w:cs="Arial"/>
          <w:sz w:val="24"/>
        </w:rPr>
        <w:t>8</w:t>
      </w:r>
      <w:r w:rsidRPr="006058E1">
        <w:rPr>
          <w:rFonts w:ascii="宋体" w:hAnsi="宋体" w:cs="Arial" w:hint="eastAsia"/>
          <w:sz w:val="24"/>
        </w:rPr>
        <w:t>）本基金投资存托凭证的比例限制依照境内上市交易的股票执行，与境内上市交易的股票合并计算；</w:t>
      </w:r>
    </w:p>
    <w:p w14:paraId="5FB0C748" w14:textId="2CBDA6F9" w:rsidR="006058E1" w:rsidRPr="006058E1" w:rsidRDefault="006058E1" w:rsidP="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w:t>
      </w:r>
      <w:r w:rsidR="000956F8">
        <w:rPr>
          <w:rFonts w:ascii="宋体" w:hAnsi="宋体" w:cs="Arial"/>
          <w:sz w:val="24"/>
        </w:rPr>
        <w:t>19</w:t>
      </w:r>
      <w:r w:rsidRPr="006058E1">
        <w:rPr>
          <w:rFonts w:ascii="宋体" w:hAnsi="宋体" w:cs="Arial" w:hint="eastAsia"/>
          <w:sz w:val="24"/>
        </w:rPr>
        <w:t>）法律法规及中国证监会规定的和《基金合同》约定的其他投资比例限制。</w:t>
      </w:r>
    </w:p>
    <w:p w14:paraId="14F44451" w14:textId="6119201D" w:rsidR="006058E1" w:rsidRDefault="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除第（2）、（12）、（15）、（16）项规定的情形外，因证券、期货市场波动、上市公司合并、基金规模变动、标的指数成份股调整、标的指数成份股流动性限制等基金管理人之外的因素致使基金投资比例不符合上述规定投资比例的，基金管理人应当在10个交易日内进行调整，法律法规另有规定的从其规定。</w:t>
      </w:r>
    </w:p>
    <w:p w14:paraId="3A40E325" w14:textId="7A4E9E38" w:rsidR="006058E1" w:rsidRPr="006058E1" w:rsidRDefault="006058E1">
      <w:pPr>
        <w:adjustRightInd w:val="0"/>
        <w:snapToGrid w:val="0"/>
        <w:spacing w:line="360" w:lineRule="auto"/>
        <w:ind w:firstLineChars="200" w:firstLine="480"/>
        <w:rPr>
          <w:rFonts w:ascii="宋体" w:hAnsi="宋体" w:cs="Arial"/>
          <w:sz w:val="24"/>
        </w:rPr>
      </w:pPr>
      <w:r w:rsidRPr="006058E1">
        <w:rPr>
          <w:rFonts w:ascii="宋体" w:hAnsi="宋体" w:cs="Arial" w:hint="eastAsia"/>
          <w:sz w:val="24"/>
        </w:rPr>
        <w:t>因证券市场波动、上市公司合并、基金规模变动等基金管理人之外的因素致使基金投资不符合第（15）项规定的，基金管理人不得新增出借业务。基金参与出借业务不终止确认出借证券。基金持有证券的持有期计算不因出借而受影响，出借证券应纳入基金投资运作指标计算范围。</w:t>
      </w:r>
    </w:p>
    <w:p w14:paraId="742FBD03" w14:textId="77777777" w:rsidR="001F0793" w:rsidRDefault="00E53946">
      <w:pPr>
        <w:adjustRightInd w:val="0"/>
        <w:snapToGrid w:val="0"/>
        <w:spacing w:line="360" w:lineRule="auto"/>
        <w:ind w:firstLineChars="200" w:firstLine="480"/>
        <w:rPr>
          <w:rFonts w:ascii="宋体" w:hAnsi="宋体"/>
          <w:sz w:val="24"/>
        </w:rPr>
      </w:pPr>
      <w:r>
        <w:rPr>
          <w:rFonts w:ascii="宋体" w:hAnsi="宋体" w:hint="eastAsia"/>
          <w:sz w:val="24"/>
        </w:rPr>
        <w:t>如果法律法规及监管政策等对上述投资组合比例限制进行变更的，如适用于本基金，基金管理人在履行适当程序后，以变更后的规定为准。法律法规或监管政策等取消上述限制的，如适用于本基金，基金管理人在履行适当程序后，则本基金投资不再受相关限制。</w:t>
      </w:r>
    </w:p>
    <w:p w14:paraId="66730AD5" w14:textId="77777777" w:rsidR="001F0793" w:rsidRDefault="00E53946">
      <w:pPr>
        <w:adjustRightInd w:val="0"/>
        <w:snapToGrid w:val="0"/>
        <w:spacing w:line="360" w:lineRule="auto"/>
        <w:ind w:firstLineChars="200" w:firstLine="480"/>
        <w:rPr>
          <w:rFonts w:ascii="宋体" w:hAnsi="宋体"/>
          <w:sz w:val="24"/>
        </w:rPr>
      </w:pPr>
      <w:r>
        <w:rPr>
          <w:rFonts w:ascii="宋体" w:hAnsi="宋体" w:hint="eastAsia"/>
          <w:sz w:val="24"/>
        </w:rPr>
        <w:t>基金管理人应当自基金合同生效之日起</w:t>
      </w:r>
      <w:r>
        <w:rPr>
          <w:rFonts w:ascii="宋体" w:hAnsi="宋体"/>
          <w:sz w:val="24"/>
        </w:rPr>
        <w:t>6</w:t>
      </w:r>
      <w:r>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73793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（三）基金托管人</w:t>
      </w:r>
      <w:bookmarkStart w:id="14" w:name="OLE_LINK1"/>
      <w:r>
        <w:rPr>
          <w:rFonts w:ascii="宋体" w:hAnsi="宋体" w:cs="Arial" w:hint="eastAsia"/>
          <w:sz w:val="24"/>
        </w:rPr>
        <w:t>根据有关法律法规的规定及《基金合同》的约定，</w:t>
      </w:r>
      <w:bookmarkEnd w:id="14"/>
      <w:r>
        <w:rPr>
          <w:rFonts w:ascii="宋体" w:hAnsi="宋体" w:cs="Arial" w:hint="eastAsia"/>
          <w:sz w:val="24"/>
        </w:rPr>
        <w:t>对本托管协议第十五条第（九）</w:t>
      </w:r>
      <w:proofErr w:type="gramStart"/>
      <w:r>
        <w:rPr>
          <w:rFonts w:ascii="宋体" w:hAnsi="宋体" w:cs="Arial" w:hint="eastAsia"/>
          <w:sz w:val="24"/>
        </w:rPr>
        <w:t>款基金</w:t>
      </w:r>
      <w:proofErr w:type="gramEnd"/>
      <w:r>
        <w:rPr>
          <w:rFonts w:ascii="宋体" w:hAnsi="宋体" w:cs="Arial" w:hint="eastAsia"/>
          <w:sz w:val="24"/>
        </w:rPr>
        <w:t>投资禁止行为通过事后监督方式进行监督。</w:t>
      </w:r>
    </w:p>
    <w:p w14:paraId="76FD81F9" w14:textId="2D83B7B8"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0734C2">
        <w:rPr>
          <w:rFonts w:ascii="宋体" w:hAnsi="宋体" w:cs="Arial" w:hint="eastAsia"/>
          <w:sz w:val="24"/>
        </w:rPr>
        <w:t>基金管理人董事会应至少每半年对关联交易事项进行审查。</w:t>
      </w:r>
    </w:p>
    <w:p w14:paraId="7670359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（四）基金托管人根据有关法律法规的规定及《基金合同》的约定，对基金管理人投资流通受限证券进行监督。</w:t>
      </w:r>
    </w:p>
    <w:p w14:paraId="49C5306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hint="eastAsia"/>
          <w:sz w:val="24"/>
        </w:rPr>
        <w:lastRenderedPageBreak/>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制订严格的投资决策流程和风险控制制度，防范流动性风险、法律风险和操作风险等各种风险。</w:t>
      </w:r>
    </w:p>
    <w:p w14:paraId="2CDFE3EC" w14:textId="77777777" w:rsidR="001F0793" w:rsidRDefault="00E53946">
      <w:pPr>
        <w:adjustRightInd w:val="0"/>
        <w:snapToGrid w:val="0"/>
        <w:spacing w:line="360" w:lineRule="auto"/>
        <w:ind w:firstLineChars="200" w:firstLine="480"/>
        <w:rPr>
          <w:rFonts w:ascii="宋体" w:hAnsi="宋体"/>
          <w:sz w:val="24"/>
        </w:rPr>
      </w:pPr>
      <w:r>
        <w:rPr>
          <w:rFonts w:ascii="宋体" w:hAnsi="宋体" w:cs="Arial" w:hint="eastAsia"/>
          <w:sz w:val="24"/>
        </w:rPr>
        <w:t>1.本基金</w:t>
      </w:r>
      <w:r>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等流通受限证券。本基金不投资有</w:t>
      </w:r>
      <w:proofErr w:type="gramStart"/>
      <w:r>
        <w:rPr>
          <w:rFonts w:ascii="宋体" w:hAnsi="宋体" w:hint="eastAsia"/>
          <w:sz w:val="24"/>
        </w:rPr>
        <w:t>锁定期但锁定</w:t>
      </w:r>
      <w:proofErr w:type="gramEnd"/>
      <w:r>
        <w:rPr>
          <w:rFonts w:ascii="宋体" w:hAnsi="宋体" w:hint="eastAsia"/>
          <w:sz w:val="24"/>
        </w:rPr>
        <w:t>期不明确的证券。</w:t>
      </w:r>
    </w:p>
    <w:p w14:paraId="2437A728" w14:textId="77777777" w:rsidR="001F0793" w:rsidRDefault="00E53946">
      <w:pPr>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6147BE2" w14:textId="77777777" w:rsidR="001F0793" w:rsidRDefault="00E53946">
      <w:pPr>
        <w:adjustRightInd w:val="0"/>
        <w:snapToGrid w:val="0"/>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5AE1321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w:t>
      </w:r>
      <w:r>
        <w:rPr>
          <w:rFonts w:ascii="宋体" w:hAnsi="宋体" w:hint="eastAsia"/>
          <w:sz w:val="24"/>
        </w:rPr>
        <w:t>投资流通受限证券，不得预付任何形式的保证金。</w:t>
      </w:r>
      <w:r>
        <w:rPr>
          <w:rFonts w:ascii="宋体" w:hAnsi="宋体" w:cs="Arial" w:hint="eastAsia"/>
          <w:sz w:val="24"/>
        </w:rPr>
        <w:t>若有最新法律法规、监管政策变更规定的，根据最新法律法规、监管政策执行</w:t>
      </w:r>
    </w:p>
    <w:p w14:paraId="0C4C7867" w14:textId="77777777" w:rsidR="001F0793" w:rsidRDefault="00E53946">
      <w:pPr>
        <w:spacing w:line="360" w:lineRule="auto"/>
        <w:ind w:firstLineChars="200" w:firstLine="480"/>
        <w:rPr>
          <w:rFonts w:ascii="宋体" w:hAnsi="宋体"/>
          <w:sz w:val="24"/>
        </w:rPr>
      </w:pPr>
      <w:r>
        <w:rPr>
          <w:rFonts w:ascii="宋体" w:hAnsi="宋体" w:cs="Arial" w:hint="eastAsia"/>
          <w:sz w:val="24"/>
        </w:rPr>
        <w:t>2.</w:t>
      </w:r>
      <w:r>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6CB3B02D" w14:textId="77777777" w:rsidR="001F0793" w:rsidRDefault="00E53946">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rPr>
        <w:t>人原因</w:t>
      </w:r>
      <w:proofErr w:type="gramEnd"/>
      <w:r>
        <w:rPr>
          <w:rFonts w:ascii="宋体" w:hAnsi="宋体" w:hint="eastAsia"/>
          <w:sz w:val="24"/>
        </w:rPr>
        <w:t>导致本基金出现损失致使基金托管人承担连带赔偿责任的，基金管理人应赔偿基金托管人由此遭受的损失。</w:t>
      </w:r>
    </w:p>
    <w:p w14:paraId="447AA75B" w14:textId="77777777" w:rsidR="001F0793" w:rsidRDefault="00E53946">
      <w:pPr>
        <w:spacing w:line="360" w:lineRule="auto"/>
        <w:ind w:firstLineChars="200" w:firstLine="480"/>
        <w:rPr>
          <w:rFonts w:ascii="宋体" w:hAnsi="宋体"/>
          <w:sz w:val="24"/>
        </w:rPr>
      </w:pPr>
      <w:r>
        <w:rPr>
          <w:rFonts w:ascii="宋体" w:hAnsi="宋体" w:cs="Arial" w:hint="eastAsia"/>
          <w:sz w:val="24"/>
        </w:rPr>
        <w:t>3.</w:t>
      </w:r>
      <w:r>
        <w:rPr>
          <w:rFonts w:ascii="宋体" w:hAnsi="宋体" w:hint="eastAsia"/>
          <w:sz w:val="24"/>
        </w:rPr>
        <w:t>本基金投资非公开发行股票，基金管理人应至少于投资前三个工作日向基金托管人提交有关书面资料，并保证向基金托管人提供的有关资料真实、准确、完</w:t>
      </w:r>
      <w:r>
        <w:rPr>
          <w:rFonts w:ascii="宋体" w:hAnsi="宋体" w:hint="eastAsia"/>
          <w:sz w:val="24"/>
        </w:rPr>
        <w:lastRenderedPageBreak/>
        <w:t>整。有关资料如有调整，基金管理人应及时提供调整后的资料。上述书面资料包括但不限于：</w:t>
      </w:r>
    </w:p>
    <w:p w14:paraId="30733563" w14:textId="77777777" w:rsidR="001F0793" w:rsidRDefault="00E53946">
      <w:pPr>
        <w:spacing w:line="360" w:lineRule="auto"/>
        <w:ind w:firstLineChars="200" w:firstLine="480"/>
        <w:rPr>
          <w:rFonts w:ascii="宋体" w:hAnsi="宋体"/>
          <w:sz w:val="24"/>
        </w:rPr>
      </w:pPr>
      <w:r>
        <w:rPr>
          <w:rFonts w:ascii="宋体" w:hAnsi="宋体" w:hint="eastAsia"/>
          <w:sz w:val="24"/>
        </w:rPr>
        <w:t>（1）中国证监会批准发行非公开发行股票的批准文件。</w:t>
      </w:r>
    </w:p>
    <w:p w14:paraId="4ED3DCF3" w14:textId="77777777" w:rsidR="001F0793" w:rsidRDefault="00E53946">
      <w:pPr>
        <w:spacing w:line="360" w:lineRule="auto"/>
        <w:ind w:firstLineChars="200" w:firstLine="480"/>
        <w:rPr>
          <w:rFonts w:ascii="宋体" w:hAnsi="宋体"/>
          <w:sz w:val="24"/>
        </w:rPr>
      </w:pPr>
      <w:r>
        <w:rPr>
          <w:rFonts w:ascii="宋体" w:hAnsi="宋体" w:hint="eastAsia"/>
          <w:sz w:val="24"/>
        </w:rPr>
        <w:t>（2）非公开发行股票有关发行数量、发行价格、锁定期等发行资料。</w:t>
      </w:r>
    </w:p>
    <w:p w14:paraId="30D022C8" w14:textId="312BE06A" w:rsidR="001F0793" w:rsidRDefault="00E53946" w:rsidP="000734C2">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）基金拟认购的数量、价格、总成本、账面价值。</w:t>
      </w:r>
    </w:p>
    <w:p w14:paraId="3BD31797" w14:textId="77777777" w:rsidR="001F0793" w:rsidRDefault="00E53946">
      <w:pPr>
        <w:spacing w:line="360" w:lineRule="auto"/>
        <w:ind w:firstLineChars="200" w:firstLine="480"/>
        <w:rPr>
          <w:rFonts w:ascii="宋体" w:hAnsi="宋体"/>
          <w:sz w:val="24"/>
        </w:rPr>
      </w:pPr>
      <w:r>
        <w:rPr>
          <w:rFonts w:ascii="宋体" w:hAnsi="宋体" w:cs="Arial" w:hint="eastAsia"/>
          <w:sz w:val="24"/>
        </w:rPr>
        <w:t>4.</w:t>
      </w:r>
      <w:r>
        <w:rPr>
          <w:rFonts w:ascii="宋体" w:hAnsi="宋体"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C3CD9E4" w14:textId="77777777" w:rsidR="001F0793" w:rsidRDefault="00E53946">
      <w:pPr>
        <w:spacing w:line="360" w:lineRule="auto"/>
        <w:ind w:firstLineChars="200" w:firstLine="480"/>
        <w:rPr>
          <w:rFonts w:ascii="宋体" w:hAnsi="宋体"/>
          <w:sz w:val="24"/>
        </w:rPr>
      </w:pPr>
      <w:r>
        <w:rPr>
          <w:rFonts w:ascii="宋体" w:hAnsi="宋体" w:hint="eastAsia"/>
          <w:sz w:val="24"/>
        </w:rPr>
        <w:t>本基金有关投资流通受限证券比例如违反有关限制规定，在合理期限内未能进行及时调整，基金管理人应在两个工作日内编制临时报告书，予以公告。</w:t>
      </w:r>
    </w:p>
    <w:p w14:paraId="357FD818" w14:textId="77777777" w:rsidR="001F0793" w:rsidRDefault="00E53946">
      <w:pPr>
        <w:adjustRightInd w:val="0"/>
        <w:snapToGrid w:val="0"/>
        <w:spacing w:line="360" w:lineRule="auto"/>
        <w:ind w:firstLineChars="200" w:firstLine="480"/>
        <w:rPr>
          <w:rFonts w:ascii="宋体" w:hAnsi="宋体"/>
          <w:sz w:val="24"/>
        </w:rPr>
      </w:pPr>
      <w:r>
        <w:rPr>
          <w:rFonts w:ascii="宋体" w:hAnsi="宋体" w:cs="Arial"/>
          <w:sz w:val="24"/>
        </w:rPr>
        <w:t>5</w:t>
      </w:r>
      <w:r>
        <w:rPr>
          <w:rFonts w:ascii="宋体" w:hAnsi="宋体" w:cs="Arial" w:hint="eastAsia"/>
          <w:sz w:val="24"/>
        </w:rPr>
        <w:t>.</w:t>
      </w:r>
      <w:r>
        <w:rPr>
          <w:rFonts w:ascii="宋体" w:hAnsi="宋体" w:hint="eastAsia"/>
          <w:sz w:val="24"/>
        </w:rPr>
        <w:t>相关法律法规对基金投资流通受限证券有新规定的，从其规定。</w:t>
      </w:r>
    </w:p>
    <w:p w14:paraId="0491E98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（五）基金托管人根据有关法律法规的规定及《基金合同》的约定，对基金资产净值计算、</w:t>
      </w:r>
      <w:r>
        <w:rPr>
          <w:rFonts w:asciiTheme="minorEastAsia" w:hAnsiTheme="minorEastAsia" w:cs="Times New Roman" w:hint="eastAsia"/>
          <w:sz w:val="24"/>
        </w:rPr>
        <w:t>各类</w:t>
      </w:r>
      <w:r>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6CB8036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687FA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5F725A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（八）</w:t>
      </w:r>
      <w:proofErr w:type="gramStart"/>
      <w:r>
        <w:rPr>
          <w:rFonts w:ascii="宋体" w:hAnsi="宋体" w:cs="Arial" w:hint="eastAsia"/>
          <w:sz w:val="24"/>
        </w:rPr>
        <w:t>若基金</w:t>
      </w:r>
      <w:proofErr w:type="gramEnd"/>
      <w:r>
        <w:rPr>
          <w:rFonts w:ascii="宋体" w:hAnsi="宋体" w:cs="Arial" w:hint="eastAsia"/>
          <w:sz w:val="24"/>
        </w:rPr>
        <w:t>托管人发现基金管理人依据交易程序已经生效的指令违反法律、行政法规和其他有关规定，或者违反《基金合同》约定的，应当及时通知基金管理</w:t>
      </w:r>
      <w:r>
        <w:rPr>
          <w:rFonts w:ascii="宋体" w:hAnsi="宋体" w:cs="Arial" w:hint="eastAsia"/>
          <w:sz w:val="24"/>
        </w:rPr>
        <w:lastRenderedPageBreak/>
        <w:t>人，由此造成的损失由基金管理人承担。</w:t>
      </w:r>
    </w:p>
    <w:p w14:paraId="356B6F2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7593E097" w14:textId="77777777" w:rsidR="001F0793" w:rsidRDefault="00E53946">
      <w:pPr>
        <w:pStyle w:val="2"/>
        <w:spacing w:line="360" w:lineRule="auto"/>
        <w:jc w:val="center"/>
        <w:rPr>
          <w:rFonts w:ascii="宋体" w:eastAsia="宋体" w:hAnsi="宋体"/>
          <w:sz w:val="30"/>
        </w:rPr>
      </w:pPr>
      <w:bookmarkStart w:id="15" w:name="_Toc120435783"/>
      <w:bookmarkStart w:id="16" w:name="_Toc86737929"/>
      <w:bookmarkStart w:id="17" w:name="_Toc110830492"/>
      <w:bookmarkStart w:id="18" w:name="_Toc108512358"/>
      <w:bookmarkStart w:id="19" w:name="_Toc86223242"/>
      <w:bookmarkStart w:id="20" w:name="_Toc89163368"/>
      <w:bookmarkStart w:id="21" w:name="_Toc86727355"/>
      <w:bookmarkStart w:id="22" w:name="_Toc110761796"/>
      <w:bookmarkStart w:id="23" w:name="_Toc86649722"/>
      <w:bookmarkStart w:id="24" w:name="_Toc124325888"/>
      <w:bookmarkStart w:id="25" w:name="_Toc119402710"/>
      <w:bookmarkStart w:id="26" w:name="_Toc110765660"/>
      <w:bookmarkStart w:id="27" w:name="_Toc118972648"/>
      <w:bookmarkStart w:id="28" w:name="_Toc86225291"/>
      <w:bookmarkStart w:id="29" w:name="_Toc118774803"/>
      <w:bookmarkStart w:id="30" w:name="_Toc86726439"/>
      <w:bookmarkStart w:id="31" w:name="_Toc118212950"/>
      <w:r>
        <w:rPr>
          <w:rFonts w:ascii="宋体" w:eastAsia="宋体" w:hAnsi="宋体"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51BEE40"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Pr>
          <w:rFonts w:asciiTheme="minorEastAsia" w:hAnsiTheme="minorEastAsia" w:cs="Times New Roman" w:hint="eastAsia"/>
          <w:sz w:val="24"/>
        </w:rPr>
        <w:t>各类</w:t>
      </w:r>
      <w:r>
        <w:rPr>
          <w:rFonts w:ascii="宋体" w:hAnsi="宋体" w:cs="Arial" w:hint="eastAsia"/>
          <w:sz w:val="24"/>
        </w:rPr>
        <w:t>基金份额净值、根据基金管理人指令办理清算交收、相关信息披露和监督基金投资运作等行为。</w:t>
      </w:r>
    </w:p>
    <w:p w14:paraId="5B8FEE9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Arial" w:hint="eastAsia"/>
          <w:sz w:val="24"/>
        </w:rPr>
        <w:t>供基金</w:t>
      </w:r>
      <w:proofErr w:type="gramEnd"/>
      <w:r>
        <w:rPr>
          <w:rFonts w:ascii="宋体" w:hAnsi="宋体" w:cs="Arial" w:hint="eastAsia"/>
          <w:sz w:val="24"/>
        </w:rPr>
        <w:t>管理人核查托管财产的完整性和真实性，在规定时间内答复基金管理人并改正。</w:t>
      </w:r>
    </w:p>
    <w:p w14:paraId="3BC0A218"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81755FF" w14:textId="77777777" w:rsidR="001F0793" w:rsidRDefault="001F0793">
      <w:pPr>
        <w:spacing w:line="360" w:lineRule="auto"/>
        <w:rPr>
          <w:rFonts w:ascii="宋体" w:hAnsi="宋体"/>
          <w:sz w:val="24"/>
        </w:rPr>
      </w:pPr>
    </w:p>
    <w:p w14:paraId="624B0B53" w14:textId="77777777" w:rsidR="001F0793" w:rsidRDefault="00E53946">
      <w:pPr>
        <w:pStyle w:val="2"/>
        <w:spacing w:line="360" w:lineRule="auto"/>
        <w:jc w:val="center"/>
        <w:rPr>
          <w:rFonts w:ascii="宋体" w:eastAsia="宋体" w:hAnsi="宋体"/>
          <w:sz w:val="30"/>
        </w:rPr>
      </w:pPr>
      <w:bookmarkStart w:id="32" w:name="_Toc119402711"/>
      <w:bookmarkStart w:id="33" w:name="_Toc86649723"/>
      <w:bookmarkStart w:id="34" w:name="_Toc110830493"/>
      <w:bookmarkStart w:id="35" w:name="_Toc86737930"/>
      <w:bookmarkStart w:id="36" w:name="_Toc118774804"/>
      <w:bookmarkStart w:id="37" w:name="_Toc108512359"/>
      <w:bookmarkStart w:id="38" w:name="_Toc124325889"/>
      <w:bookmarkStart w:id="39" w:name="_Toc110765661"/>
      <w:bookmarkStart w:id="40" w:name="_Toc89163369"/>
      <w:bookmarkStart w:id="41" w:name="_Toc86727356"/>
      <w:bookmarkStart w:id="42" w:name="_Toc110761797"/>
      <w:bookmarkStart w:id="43" w:name="_Toc86726440"/>
      <w:bookmarkStart w:id="44" w:name="_Toc118972649"/>
      <w:bookmarkStart w:id="45" w:name="_Toc84234388"/>
      <w:bookmarkStart w:id="46" w:name="_Toc84133786"/>
      <w:bookmarkStart w:id="47" w:name="_Toc118212951"/>
      <w:bookmarkStart w:id="48" w:name="_Toc84234435"/>
      <w:bookmarkStart w:id="49" w:name="_Toc86225292"/>
      <w:bookmarkStart w:id="50" w:name="_Toc86204789"/>
      <w:bookmarkStart w:id="51" w:name="_Toc86223243"/>
      <w:bookmarkStart w:id="52" w:name="_Toc120435784"/>
      <w:r>
        <w:rPr>
          <w:rFonts w:ascii="宋体" w:eastAsia="宋体" w:hAnsi="宋体" w:hint="eastAsia"/>
          <w:sz w:val="30"/>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3FE5A5F"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（一）基金财产保管的原则</w:t>
      </w:r>
    </w:p>
    <w:p w14:paraId="7FDDEBF0"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lastRenderedPageBreak/>
        <w:t>1.基金财产应独立于基金管理人、基金托管人的固有财产。</w:t>
      </w:r>
    </w:p>
    <w:p w14:paraId="7FB1591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2.基金托管人应安全保管基金财产。</w:t>
      </w:r>
    </w:p>
    <w:p w14:paraId="51B3876B"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3.基金托管人按照规定开设基金财产的资金账户和证券账户。</w:t>
      </w:r>
    </w:p>
    <w:p w14:paraId="6F5EF96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4.基金托管人对所托管的不同基金财产分别设置账户，确保基金财产的完整与独立。</w:t>
      </w:r>
    </w:p>
    <w:p w14:paraId="29929C9E" w14:textId="3DFE6C13"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w:t>
      </w:r>
      <w:r w:rsidR="000956F8" w:rsidRPr="000956F8">
        <w:rPr>
          <w:rFonts w:ascii="宋体" w:hAnsi="宋体" w:hint="eastAsia"/>
          <w:sz w:val="24"/>
        </w:rPr>
        <w:t>托管资产</w:t>
      </w:r>
      <w:r>
        <w:rPr>
          <w:rFonts w:ascii="宋体" w:hAnsi="宋体" w:hint="eastAsia"/>
          <w:sz w:val="24"/>
        </w:rPr>
        <w:t>开户银行或交易/登记结算机构扣</w:t>
      </w:r>
      <w:proofErr w:type="gramStart"/>
      <w:r>
        <w:rPr>
          <w:rFonts w:ascii="宋体" w:hAnsi="宋体" w:hint="eastAsia"/>
          <w:sz w:val="24"/>
        </w:rPr>
        <w:t>收交易</w:t>
      </w:r>
      <w:proofErr w:type="gramEnd"/>
      <w:r>
        <w:rPr>
          <w:rFonts w:ascii="宋体" w:hAnsi="宋体" w:hint="eastAsia"/>
          <w:sz w:val="24"/>
        </w:rPr>
        <w:t>费、结算费和账户维护费等费用）。</w:t>
      </w:r>
    </w:p>
    <w:p w14:paraId="788F15D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46AF88"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7.除依据法律法规和《基金合同》的规定外，基金托管人不得委托第三人托管基金财产。</w:t>
      </w:r>
    </w:p>
    <w:p w14:paraId="46C8ABC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（二）基金募集期间及募集资金的验资</w:t>
      </w:r>
    </w:p>
    <w:p w14:paraId="1B72D40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1.基金募集期间募集的资金应存于基金管理人在基金托管人的营业机构开立的“基金募集专户”。该账户由基金管理人开立并管理。</w:t>
      </w:r>
    </w:p>
    <w:p w14:paraId="1F3DB9A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符合《证券法》规定的注册会计师签字方为有效。</w:t>
      </w:r>
    </w:p>
    <w:p w14:paraId="1E075D8F"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若基金</w:t>
      </w:r>
      <w:proofErr w:type="gramEnd"/>
      <w:r>
        <w:rPr>
          <w:rFonts w:ascii="宋体" w:hAnsi="宋体" w:cs="Arial" w:hint="eastAsia"/>
          <w:sz w:val="24"/>
        </w:rPr>
        <w:t>募集期限届满，未能达到《基金合同》生效的条件，由基金管理人按规定办理退款等事宜。</w:t>
      </w:r>
    </w:p>
    <w:p w14:paraId="1B9D0B6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（三）基金托管资金账户的开立和管理</w:t>
      </w:r>
    </w:p>
    <w:p w14:paraId="72CAF05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1.基金托管人可以基金的名义在其营业机构开立基金的托管资金账户，并根据基金管理人合法合</w:t>
      </w:r>
      <w:proofErr w:type="gramStart"/>
      <w:r>
        <w:rPr>
          <w:rFonts w:ascii="宋体" w:hAnsi="宋体" w:cs="Arial" w:hint="eastAsia"/>
          <w:sz w:val="24"/>
        </w:rPr>
        <w:t>规</w:t>
      </w:r>
      <w:proofErr w:type="gramEnd"/>
      <w:r>
        <w:rPr>
          <w:rFonts w:ascii="宋体" w:hAnsi="宋体" w:cs="Arial" w:hint="eastAsia"/>
          <w:sz w:val="24"/>
        </w:rPr>
        <w:t>的指令办理资金收付。本基金的银行预留印鉴由基金托管</w:t>
      </w:r>
      <w:r>
        <w:rPr>
          <w:rFonts w:ascii="宋体" w:hAnsi="宋体" w:cs="Arial" w:hint="eastAsia"/>
          <w:sz w:val="24"/>
        </w:rPr>
        <w:lastRenderedPageBreak/>
        <w:t>人保管和使用。</w:t>
      </w:r>
    </w:p>
    <w:p w14:paraId="6E741558" w14:textId="616D3C2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2.基金托管资金账户的开立和使用，限于满足开展本基金业务的需要。基金托管人和基金管理人不得假借本基金的名义开立任何其他</w:t>
      </w:r>
      <w:r w:rsidR="000956F8" w:rsidRPr="000956F8">
        <w:rPr>
          <w:rFonts w:ascii="宋体" w:hAnsi="宋体" w:cs="Arial" w:hint="eastAsia"/>
          <w:sz w:val="24"/>
        </w:rPr>
        <w:t>托管资金</w:t>
      </w:r>
      <w:r>
        <w:rPr>
          <w:rFonts w:ascii="宋体" w:hAnsi="宋体" w:cs="Arial" w:hint="eastAsia"/>
          <w:sz w:val="24"/>
        </w:rPr>
        <w:t>账户；亦不得使用基金的任何账户进行本基金业务以外的活动。</w:t>
      </w:r>
    </w:p>
    <w:p w14:paraId="7663D10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3.基金托管资金账户的开立和管理应符合银行业监督管理机构的有关规定。</w:t>
      </w:r>
    </w:p>
    <w:p w14:paraId="6E5696F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4.在符合法律法规规定的条件下，基金托管人可以通过基金托管人专用账户办理基金资产的支付。</w:t>
      </w:r>
    </w:p>
    <w:p w14:paraId="0AEB5097" w14:textId="788CC3E1" w:rsidR="001F0793" w:rsidRDefault="00E53946">
      <w:pPr>
        <w:adjustRightInd w:val="0"/>
        <w:snapToGrid w:val="0"/>
        <w:spacing w:line="360" w:lineRule="auto"/>
        <w:ind w:firstLine="480"/>
        <w:rPr>
          <w:rFonts w:ascii="宋体" w:hAnsi="宋体" w:cs="Arial"/>
          <w:sz w:val="24"/>
        </w:rPr>
      </w:pPr>
      <w:r w:rsidRPr="00666930">
        <w:rPr>
          <w:rFonts w:ascii="宋体" w:hAnsi="宋体" w:cs="Arial"/>
          <w:sz w:val="24"/>
        </w:rPr>
        <w:t>5</w:t>
      </w:r>
      <w:r w:rsidR="0010767C" w:rsidRPr="00666930">
        <w:rPr>
          <w:rFonts w:ascii="宋体" w:hAnsi="宋体" w:cs="Arial"/>
          <w:sz w:val="24"/>
        </w:rPr>
        <w:t>.</w:t>
      </w:r>
      <w:r w:rsidRPr="00666930">
        <w:rPr>
          <w:rFonts w:ascii="宋体" w:hAnsi="宋体" w:cs="Arial" w:hint="eastAsia"/>
          <w:sz w:val="24"/>
        </w:rPr>
        <w:t>基金管理人应于托管产品到期后及时完成收益兑付、费用结清及其他应收应付款项资金划转，在确保后续不再发生款项进出后的</w:t>
      </w:r>
      <w:r w:rsidRPr="00666930">
        <w:rPr>
          <w:rFonts w:ascii="宋体" w:hAnsi="宋体" w:cs="Arial"/>
          <w:sz w:val="24"/>
        </w:rPr>
        <w:t>10个工作日内向托管人发出销户申请。</w:t>
      </w:r>
    </w:p>
    <w:p w14:paraId="007F5AE5"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（四）基金证券账户和结算备付金账户的开立和管理</w:t>
      </w:r>
    </w:p>
    <w:p w14:paraId="30CEB2D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14:paraId="04AFF66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D8C2B3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3562A6C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EE16818" w14:textId="77777777" w:rsidR="00D5398D" w:rsidRDefault="00E53946" w:rsidP="001016BC">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00710D50" w:rsidRPr="00710D50">
        <w:rPr>
          <w:rFonts w:ascii="宋体" w:hAnsi="宋体" w:cs="Arial" w:hint="eastAsia"/>
          <w:sz w:val="24"/>
        </w:rPr>
        <w:t>基金管理人为基金财产在证券经纪机构开立证券资金账户，用于基金财产证券交易结算资金的存管、记载交易结算资金的变动明细以及场内证券交易清算，并与基金托管人开立的基金银行账户建立第三方存管关系。</w:t>
      </w:r>
    </w:p>
    <w:p w14:paraId="3A1F940F" w14:textId="3510137F" w:rsidR="00D5398D" w:rsidRDefault="00710D50" w:rsidP="001016BC">
      <w:pPr>
        <w:adjustRightInd w:val="0"/>
        <w:snapToGrid w:val="0"/>
        <w:spacing w:line="360" w:lineRule="auto"/>
        <w:ind w:firstLineChars="200" w:firstLine="480"/>
        <w:rPr>
          <w:rFonts w:ascii="宋体" w:hAnsi="宋体" w:cs="Arial"/>
          <w:sz w:val="24"/>
        </w:rPr>
      </w:pPr>
      <w:r w:rsidRPr="00710D50">
        <w:rPr>
          <w:rFonts w:ascii="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w:t>
      </w:r>
      <w:r w:rsidRPr="00710D50">
        <w:rPr>
          <w:rFonts w:ascii="宋体" w:hAnsi="宋体" w:cs="Arial" w:hint="eastAsia"/>
          <w:sz w:val="24"/>
        </w:rPr>
        <w:lastRenderedPageBreak/>
        <w:t>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14:paraId="3C01B804" w14:textId="4E982224" w:rsidR="001F0793" w:rsidRDefault="00E53946" w:rsidP="001016BC">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E26940">
        <w:rPr>
          <w:rFonts w:ascii="宋体" w:hAnsi="宋体" w:cs="Arial" w:hint="eastAsia"/>
          <w:sz w:val="24"/>
        </w:rPr>
        <w:t>.</w:t>
      </w:r>
      <w:r>
        <w:rPr>
          <w:rFonts w:ascii="宋体"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28FD490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宋体" w:hAnsi="宋体" w:cs="Arial" w:hint="eastAsia"/>
          <w:sz w:val="24"/>
        </w:rPr>
        <w:t>则基金</w:t>
      </w:r>
      <w:proofErr w:type="gramEnd"/>
      <w:r>
        <w:rPr>
          <w:rFonts w:ascii="宋体" w:hAnsi="宋体" w:cs="Arial" w:hint="eastAsia"/>
          <w:sz w:val="24"/>
        </w:rPr>
        <w:t>托管人比照上述关于账户开立、使用的规定执行。</w:t>
      </w:r>
    </w:p>
    <w:p w14:paraId="17E811C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（五）银行间账户的开设和管理</w:t>
      </w:r>
    </w:p>
    <w:p w14:paraId="3CFFA10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35D1E5F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（六）其他账户的开立和管理</w:t>
      </w:r>
    </w:p>
    <w:p w14:paraId="5070B6D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F23E640"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2.法律法规等有关规定对相关账户的开立和管理另有规定的，从其规定办理。</w:t>
      </w:r>
    </w:p>
    <w:p w14:paraId="6F44CDEF"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（七）基金财产投资的有关有价凭证等的保管</w:t>
      </w:r>
    </w:p>
    <w:p w14:paraId="3D9D3BDE" w14:textId="77777777" w:rsidR="001F0793" w:rsidRDefault="00E53946">
      <w:pPr>
        <w:adjustRightInd w:val="0"/>
        <w:snapToGrid w:val="0"/>
        <w:spacing w:line="360" w:lineRule="auto"/>
        <w:ind w:firstLineChars="200" w:firstLine="480"/>
        <w:rPr>
          <w:rFonts w:ascii="宋体" w:hAnsi="宋体" w:cs="Arial"/>
        </w:rPr>
      </w:pPr>
      <w:r>
        <w:rPr>
          <w:rFonts w:ascii="宋体" w:hAnsi="宋体" w:cs="Arial" w:hint="eastAsia"/>
          <w:sz w:val="24"/>
        </w:rPr>
        <w:t>基金财产投资的有关实物证券、银行</w:t>
      </w:r>
      <w:r>
        <w:rPr>
          <w:rFonts w:ascii="宋体" w:hAnsi="宋体" w:hint="eastAsia"/>
          <w:sz w:val="24"/>
        </w:rPr>
        <w:t>存款开户证实书</w:t>
      </w:r>
      <w:r>
        <w:rPr>
          <w:rFonts w:ascii="宋体" w:hAnsi="宋体" w:cs="Arial" w:hint="eastAsia"/>
          <w:sz w:val="24"/>
        </w:rPr>
        <w:t>等有价凭证由基金托管人存放于基金托管人的保管库，也可存入法律法规有关规定允许的</w:t>
      </w:r>
      <w:proofErr w:type="gramStart"/>
      <w:r>
        <w:rPr>
          <w:rFonts w:ascii="宋体" w:hAnsi="宋体" w:cs="Arial" w:hint="eastAsia"/>
          <w:sz w:val="24"/>
        </w:rPr>
        <w:t>各类代保管</w:t>
      </w:r>
      <w:proofErr w:type="gramEnd"/>
      <w:r>
        <w:rPr>
          <w:rFonts w:ascii="宋体"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40E78C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（八）与基金财产有关的重大合同的保管</w:t>
      </w:r>
    </w:p>
    <w:p w14:paraId="4A3D69C7" w14:textId="77777777" w:rsidR="001F0793" w:rsidRDefault="00E53946">
      <w:pPr>
        <w:adjustRightInd w:val="0"/>
        <w:snapToGrid w:val="0"/>
        <w:spacing w:line="360" w:lineRule="auto"/>
        <w:ind w:firstLineChars="200" w:firstLine="480"/>
        <w:rPr>
          <w:rFonts w:ascii="宋体" w:hAnsi="宋体"/>
          <w:sz w:val="30"/>
          <w:szCs w:val="30"/>
        </w:rPr>
      </w:pPr>
      <w:r>
        <w:rPr>
          <w:rFonts w:ascii="宋体" w:hAnsi="宋体" w:cs="Arial" w:hint="eastAsia"/>
          <w:sz w:val="24"/>
        </w:rPr>
        <w:t>由基金管理人代表基金签署的、与基金有关的重大合同的原件分别由基金管</w:t>
      </w:r>
      <w:r>
        <w:rPr>
          <w:rFonts w:ascii="宋体" w:hAnsi="宋体" w:cs="Arial" w:hint="eastAsia"/>
          <w:sz w:val="24"/>
        </w:rPr>
        <w:lastRenderedPageBreak/>
        <w:t>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310FC332" w14:textId="77777777" w:rsidR="001F0793" w:rsidRDefault="001F0793">
      <w:pPr>
        <w:spacing w:line="360" w:lineRule="auto"/>
        <w:rPr>
          <w:rFonts w:ascii="宋体" w:hAnsi="宋体"/>
          <w:sz w:val="24"/>
        </w:rPr>
      </w:pPr>
    </w:p>
    <w:p w14:paraId="44C02F14" w14:textId="77777777" w:rsidR="001F0793" w:rsidRDefault="00E53946">
      <w:pPr>
        <w:pStyle w:val="2"/>
        <w:spacing w:line="360" w:lineRule="auto"/>
        <w:jc w:val="center"/>
        <w:rPr>
          <w:rFonts w:ascii="宋体" w:eastAsia="宋体" w:hAnsi="宋体"/>
          <w:sz w:val="30"/>
        </w:rPr>
      </w:pPr>
      <w:bookmarkStart w:id="53" w:name="_Toc84133787"/>
      <w:bookmarkStart w:id="54" w:name="_Toc86737931"/>
      <w:bookmarkStart w:id="55" w:name="_Toc89163370"/>
      <w:bookmarkStart w:id="56" w:name="_Toc86225293"/>
      <w:bookmarkStart w:id="57" w:name="_Toc86223244"/>
      <w:bookmarkStart w:id="58" w:name="_Toc119402712"/>
      <w:bookmarkStart w:id="59" w:name="_Toc118972650"/>
      <w:bookmarkStart w:id="60" w:name="_Toc86649724"/>
      <w:bookmarkStart w:id="61" w:name="_Toc108512360"/>
      <w:bookmarkStart w:id="62" w:name="_Toc110761798"/>
      <w:bookmarkStart w:id="63" w:name="_Toc86204790"/>
      <w:bookmarkStart w:id="64" w:name="_Toc86726441"/>
      <w:bookmarkStart w:id="65" w:name="_Toc120435785"/>
      <w:bookmarkStart w:id="66" w:name="_Toc84234436"/>
      <w:bookmarkStart w:id="67" w:name="_Toc86727357"/>
      <w:bookmarkStart w:id="68" w:name="_Toc84234389"/>
      <w:bookmarkStart w:id="69" w:name="_Toc124325890"/>
      <w:bookmarkStart w:id="70" w:name="_Toc110765662"/>
      <w:bookmarkStart w:id="71" w:name="_Toc118212952"/>
      <w:bookmarkStart w:id="72" w:name="_Toc118774805"/>
      <w:bookmarkStart w:id="73" w:name="_Toc110830494"/>
      <w:r>
        <w:rPr>
          <w:rFonts w:ascii="宋体" w:eastAsia="宋体" w:hAnsi="宋体"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BDAEAE9"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38729B8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（一）基金管理人对发送指令人员的书面授权</w:t>
      </w:r>
    </w:p>
    <w:p w14:paraId="1FC63ED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1.基金管理人应指定专人向基金托管人发送指令。</w:t>
      </w:r>
    </w:p>
    <w:p w14:paraId="1364ECE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2.基金管理人应向基金托管人提供书面授权文件原件，内容包括被授权人名单、预留印鉴及被授权人签字样本，授权文件应注明被授权人相应的权限, 并加盖单位公章。</w:t>
      </w:r>
    </w:p>
    <w:p w14:paraId="21E077D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3B622F80"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0C50469"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（二）指令的内容</w:t>
      </w:r>
    </w:p>
    <w:p w14:paraId="614711D9"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1.指令包括付款指令以及其他资金划拨指令等。</w:t>
      </w:r>
    </w:p>
    <w:p w14:paraId="7E84ACA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2.基金管理人发给基金托管人的指令应写明款项事由、支付时间、到账时间、金额、收付款账户等，加盖预留印鉴并由被授权人签字。</w:t>
      </w:r>
    </w:p>
    <w:p w14:paraId="42DFDE41"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（三）指令的发送、确认及执行的时间和程序</w:t>
      </w:r>
    </w:p>
    <w:p w14:paraId="215E32F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1.指令的发送</w:t>
      </w:r>
    </w:p>
    <w:p w14:paraId="35D5EEEB"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基金管理人发送指令应采用传真方式或双方协商一致的其他方式。</w:t>
      </w:r>
    </w:p>
    <w:p w14:paraId="6B3B8842"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基金管理人应按照法律法规和《基金合同》的规定，在其合法的经营权限和交</w:t>
      </w:r>
      <w:r>
        <w:rPr>
          <w:rFonts w:ascii="宋体" w:hAnsi="宋体" w:cs="Arial" w:hint="eastAsia"/>
          <w:sz w:val="24"/>
        </w:rPr>
        <w:lastRenderedPageBreak/>
        <w:t>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5E7327A"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指令发出后，基金管理人应及时以电话方式向基金托管人确认。</w:t>
      </w:r>
    </w:p>
    <w:p w14:paraId="71885EBD" w14:textId="77777777" w:rsidR="001F0793" w:rsidRDefault="00E53946">
      <w:pPr>
        <w:adjustRightInd w:val="0"/>
        <w:snapToGrid w:val="0"/>
        <w:spacing w:line="360" w:lineRule="auto"/>
        <w:ind w:firstLine="480"/>
        <w:rPr>
          <w:rFonts w:ascii="宋体" w:hAnsi="宋体" w:cs="Arial"/>
          <w:sz w:val="24"/>
        </w:rPr>
      </w:pPr>
      <w:r>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7A7727F"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2.指令的确认</w:t>
      </w:r>
    </w:p>
    <w:p w14:paraId="0DE0331A"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D15326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3.指令的时间和执行</w:t>
      </w:r>
    </w:p>
    <w:p w14:paraId="613C7276" w14:textId="43537837" w:rsidR="001F0793" w:rsidRDefault="00E53946">
      <w:pPr>
        <w:pStyle w:val="a6"/>
        <w:spacing w:line="360" w:lineRule="auto"/>
        <w:ind w:firstLineChars="0"/>
        <w:rPr>
          <w:rFonts w:ascii="宋体" w:eastAsia="宋体" w:hAnsi="宋体" w:cs="Arial"/>
          <w:szCs w:val="24"/>
          <w:shd w:val="pct10" w:color="auto" w:fill="FFFFFF"/>
        </w:rPr>
      </w:pPr>
      <w:r>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0956F8" w:rsidRPr="000956F8">
        <w:rPr>
          <w:rFonts w:ascii="宋体" w:eastAsia="宋体" w:hAnsi="宋体" w:cs="Arial" w:hint="eastAsia"/>
        </w:rPr>
        <w:t>确保</w:t>
      </w:r>
      <w:r>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宋体" w:eastAsia="宋体" w:hAnsi="宋体" w:cs="Arial" w:hint="eastAsia"/>
          <w:szCs w:val="24"/>
        </w:rPr>
        <w:t>基金管理人应确保基金托管人在执行指令时，基金托管资金账户有足够的资金余额，</w:t>
      </w:r>
      <w:r>
        <w:rPr>
          <w:rFonts w:ascii="宋体" w:eastAsia="宋体" w:hAnsi="宋体" w:cs="Arial" w:hint="eastAsia"/>
        </w:rPr>
        <w:t>在基金资金头寸充足的情况下，基金托管人对基金管理人符合法律法规、《基金合同》、本协议的指令不得拖延或拒绝执行。</w:t>
      </w:r>
    </w:p>
    <w:p w14:paraId="6700043D" w14:textId="77777777" w:rsidR="001F0793" w:rsidRDefault="00E53946">
      <w:pPr>
        <w:pStyle w:val="a6"/>
        <w:spacing w:line="360" w:lineRule="auto"/>
        <w:ind w:firstLineChars="0"/>
        <w:rPr>
          <w:rFonts w:ascii="宋体" w:eastAsia="宋体" w:hAnsi="宋体" w:cs="Arial"/>
        </w:rPr>
      </w:pPr>
      <w:r>
        <w:rPr>
          <w:rFonts w:ascii="宋体" w:eastAsia="宋体" w:hAnsi="宋体" w:cs="Arial" w:hint="eastAsia"/>
        </w:rPr>
        <w:t>（四）基金管理人发送错误指令的情形和处理程序</w:t>
      </w:r>
    </w:p>
    <w:p w14:paraId="06AF7D2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基金管理人发送错误指令的情形包括指令违反法律法规、监管规定、《基金合同》或本协议的约定，或指令发送人员无权或超越权限发送指令。</w:t>
      </w:r>
    </w:p>
    <w:p w14:paraId="1561886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基金托管人发现基金管理人的指令错误时，有权拒绝执行，并及时通知基金管</w:t>
      </w:r>
      <w:r>
        <w:rPr>
          <w:rFonts w:ascii="宋体" w:hAnsi="宋体" w:cs="Arial" w:hint="eastAsia"/>
          <w:sz w:val="24"/>
        </w:rPr>
        <w:lastRenderedPageBreak/>
        <w:t>理人改正。如需托管人撤销尚未执行的指令，基金管理人应出具作废指令或作废说明，并电话通知托管人。</w:t>
      </w:r>
    </w:p>
    <w:p w14:paraId="59BAB09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（五）基金托管人未按照基金管理人指令执行的处理方法</w:t>
      </w:r>
    </w:p>
    <w:p w14:paraId="6A1523CF"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宋体" w:hAnsi="宋体" w:hint="eastAsia"/>
          <w:sz w:val="24"/>
        </w:rPr>
        <w:t>赔偿由此造成的直接损失。</w:t>
      </w:r>
    </w:p>
    <w:p w14:paraId="480BBAAE"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（六）更换被授权人员的程序</w:t>
      </w:r>
    </w:p>
    <w:p w14:paraId="05057011"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Pr>
          <w:rFonts w:ascii="宋体" w:hAnsi="宋体" w:cs="Arial" w:hint="eastAsia"/>
          <w:sz w:val="24"/>
        </w:rPr>
        <w:t>人文件</w:t>
      </w:r>
      <w:proofErr w:type="gramEnd"/>
      <w:r>
        <w:rPr>
          <w:rFonts w:ascii="宋体" w:hAnsi="宋体" w:cs="Arial" w:hint="eastAsia"/>
          <w:sz w:val="24"/>
        </w:rPr>
        <w:t>正本。新的授权文件生效之后，正本送达之前，基金托管人按照新的授权文件扫描</w:t>
      </w:r>
      <w:proofErr w:type="gramStart"/>
      <w:r>
        <w:rPr>
          <w:rFonts w:ascii="宋体" w:hAnsi="宋体" w:cs="Arial" w:hint="eastAsia"/>
          <w:sz w:val="24"/>
        </w:rPr>
        <w:t>件内容</w:t>
      </w:r>
      <w:proofErr w:type="gramEnd"/>
      <w:r>
        <w:rPr>
          <w:rFonts w:ascii="宋体" w:hAnsi="宋体" w:cs="Arial" w:hint="eastAsia"/>
          <w:sz w:val="24"/>
        </w:rPr>
        <w:t>执行有关业务，如果新的授权文件正本与扫描</w:t>
      </w:r>
      <w:proofErr w:type="gramStart"/>
      <w:r>
        <w:rPr>
          <w:rFonts w:ascii="宋体" w:hAnsi="宋体" w:cs="Arial" w:hint="eastAsia"/>
          <w:sz w:val="24"/>
        </w:rPr>
        <w:t>件内容</w:t>
      </w:r>
      <w:proofErr w:type="gramEnd"/>
      <w:r>
        <w:rPr>
          <w:rFonts w:ascii="宋体" w:hAnsi="宋体" w:cs="Arial" w:hint="eastAsia"/>
          <w:sz w:val="24"/>
        </w:rPr>
        <w:t>不同，由此产生的责任由基金管理人承担</w:t>
      </w:r>
      <w:r>
        <w:rPr>
          <w:rFonts w:ascii="宋体" w:hAnsi="宋体" w:hint="eastAsia"/>
          <w:sz w:val="24"/>
        </w:rPr>
        <w:t>。</w:t>
      </w:r>
      <w:r>
        <w:rPr>
          <w:rFonts w:ascii="宋体" w:hAnsi="宋体" w:cs="Arial" w:hint="eastAsia"/>
          <w:sz w:val="24"/>
        </w:rPr>
        <w:t>基金托管人更换接受基金管理人指令的传真号或邮箱地址，应提前通知基金管理人。</w:t>
      </w:r>
    </w:p>
    <w:p w14:paraId="3CA9014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（七）其他事项</w:t>
      </w:r>
    </w:p>
    <w:p w14:paraId="3AA22CF3"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7AA3364C"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670183" w14:textId="77777777" w:rsidR="001F0793" w:rsidRDefault="001F0793">
      <w:pPr>
        <w:adjustRightInd w:val="0"/>
        <w:snapToGrid w:val="0"/>
        <w:spacing w:line="360" w:lineRule="auto"/>
        <w:rPr>
          <w:rFonts w:ascii="宋体" w:hAnsi="宋体" w:cs="Arial"/>
          <w:sz w:val="24"/>
        </w:rPr>
      </w:pPr>
    </w:p>
    <w:p w14:paraId="24B1DAD4" w14:textId="77777777" w:rsidR="001F0793" w:rsidRDefault="00E53946">
      <w:pPr>
        <w:pStyle w:val="2"/>
        <w:spacing w:line="360" w:lineRule="auto"/>
        <w:jc w:val="center"/>
        <w:rPr>
          <w:rFonts w:ascii="宋体" w:eastAsia="宋体" w:hAnsi="宋体"/>
          <w:sz w:val="30"/>
        </w:rPr>
      </w:pPr>
      <w:bookmarkStart w:id="74" w:name="_Toc86726442"/>
      <w:bookmarkStart w:id="75" w:name="_Toc86223245"/>
      <w:bookmarkStart w:id="76" w:name="_Toc84234437"/>
      <w:bookmarkStart w:id="77" w:name="_Toc86204791"/>
      <w:bookmarkStart w:id="78" w:name="_Toc86649725"/>
      <w:bookmarkStart w:id="79" w:name="_Toc86727358"/>
      <w:bookmarkStart w:id="80" w:name="_Toc108512361"/>
      <w:bookmarkStart w:id="81" w:name="_Toc124325891"/>
      <w:bookmarkStart w:id="82" w:name="_Toc118972651"/>
      <w:bookmarkStart w:id="83" w:name="_Toc86737932"/>
      <w:bookmarkStart w:id="84" w:name="_Toc120435786"/>
      <w:bookmarkStart w:id="85" w:name="_Toc84133788"/>
      <w:bookmarkStart w:id="86" w:name="_Toc110830495"/>
      <w:bookmarkStart w:id="87" w:name="_Toc110765663"/>
      <w:bookmarkStart w:id="88" w:name="_Toc110761799"/>
      <w:bookmarkStart w:id="89" w:name="_Toc118774806"/>
      <w:bookmarkStart w:id="90" w:name="_Toc118212953"/>
      <w:bookmarkStart w:id="91" w:name="_Toc84234390"/>
      <w:bookmarkStart w:id="92" w:name="_Toc89163371"/>
      <w:bookmarkStart w:id="93" w:name="_Toc119402713"/>
      <w:bookmarkStart w:id="94" w:name="_Toc86225294"/>
      <w:r>
        <w:rPr>
          <w:rFonts w:ascii="宋体" w:eastAsia="宋体" w:hAnsi="宋体"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48FBB06" w14:textId="77777777" w:rsidR="00A94F1F" w:rsidRDefault="00A94F1F" w:rsidP="00666930">
      <w:pPr>
        <w:adjustRightInd w:val="0"/>
        <w:snapToGrid w:val="0"/>
        <w:spacing w:line="360" w:lineRule="auto"/>
        <w:ind w:firstLine="480"/>
        <w:rPr>
          <w:rFonts w:ascii="宋体" w:hAnsi="宋体" w:cs="Arial"/>
          <w:sz w:val="24"/>
        </w:rPr>
      </w:pPr>
      <w:r w:rsidRPr="00666930">
        <w:rPr>
          <w:rFonts w:ascii="宋体" w:hAnsi="宋体" w:cs="Arial" w:hint="eastAsia"/>
          <w:sz w:val="24"/>
        </w:rPr>
        <w:t>（一）选择买卖的证券</w:t>
      </w:r>
      <w:r w:rsidRPr="00666930">
        <w:rPr>
          <w:rFonts w:ascii="宋体" w:hAnsi="宋体" w:cs="Arial"/>
          <w:sz w:val="24"/>
        </w:rPr>
        <w:t>/</w:t>
      </w:r>
      <w:r w:rsidRPr="00666930">
        <w:rPr>
          <w:rFonts w:ascii="宋体" w:hAnsi="宋体" w:cs="Arial" w:hint="eastAsia"/>
          <w:sz w:val="24"/>
        </w:rPr>
        <w:t>期货经纪机构</w:t>
      </w:r>
      <w:r w:rsidRPr="00666930">
        <w:rPr>
          <w:rFonts w:ascii="宋体" w:hAnsi="宋体" w:cs="Arial"/>
          <w:sz w:val="24"/>
        </w:rPr>
        <w:t xml:space="preserve"> </w:t>
      </w:r>
    </w:p>
    <w:p w14:paraId="72F06C3C" w14:textId="24752A18" w:rsidR="001F0793" w:rsidRDefault="00A94F1F" w:rsidP="00666930">
      <w:pPr>
        <w:adjustRightInd w:val="0"/>
        <w:snapToGrid w:val="0"/>
        <w:spacing w:line="360" w:lineRule="auto"/>
        <w:ind w:firstLine="480"/>
        <w:rPr>
          <w:rFonts w:ascii="宋体" w:hAnsi="宋体" w:cs="Arial"/>
          <w:sz w:val="24"/>
        </w:rPr>
      </w:pPr>
      <w:r w:rsidRPr="00666930">
        <w:rPr>
          <w:rFonts w:ascii="宋体" w:hAnsi="宋体" w:cs="Arial" w:hint="eastAsia"/>
          <w:sz w:val="24"/>
        </w:rPr>
        <w:t>基金管理人应设计选择证券买卖的证券经营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w:t>
      </w:r>
      <w:r w:rsidRPr="00666930">
        <w:rPr>
          <w:rFonts w:ascii="宋体" w:hAnsi="宋体" w:cs="Arial" w:hint="eastAsia"/>
          <w:sz w:val="24"/>
        </w:rPr>
        <w:lastRenderedPageBreak/>
        <w:t>交收及相关资金交</w:t>
      </w:r>
      <w:proofErr w:type="gramStart"/>
      <w:r w:rsidRPr="00666930">
        <w:rPr>
          <w:rFonts w:ascii="宋体" w:hAnsi="宋体" w:cs="Arial" w:hint="eastAsia"/>
          <w:sz w:val="24"/>
        </w:rPr>
        <w:t>收过程</w:t>
      </w:r>
      <w:proofErr w:type="gramEnd"/>
      <w:r w:rsidRPr="00666930">
        <w:rPr>
          <w:rFonts w:ascii="宋体" w:hAnsi="宋体" w:cs="Arial" w:hint="eastAsia"/>
          <w:sz w:val="24"/>
        </w:rPr>
        <w:t>中的职责和义务。</w:t>
      </w:r>
    </w:p>
    <w:p w14:paraId="0C752E50" w14:textId="7127642D" w:rsidR="001F0793" w:rsidRDefault="00E53946" w:rsidP="00666930">
      <w:pPr>
        <w:adjustRightInd w:val="0"/>
        <w:snapToGrid w:val="0"/>
        <w:spacing w:line="360" w:lineRule="auto"/>
        <w:ind w:firstLine="480"/>
        <w:rPr>
          <w:rFonts w:ascii="宋体" w:hAnsi="宋体"/>
          <w:sz w:val="24"/>
        </w:rPr>
      </w:pPr>
      <w:r w:rsidRPr="00A94F1F">
        <w:rPr>
          <w:rFonts w:ascii="宋体" w:hAnsi="宋体" w:cs="Arial" w:hint="eastAsia"/>
          <w:sz w:val="24"/>
        </w:rPr>
        <w:t>本基金在开始进行期货投资之前，应与基金托管人、期货公司三方</w:t>
      </w:r>
      <w:proofErr w:type="gramStart"/>
      <w:r w:rsidRPr="00A94F1F">
        <w:rPr>
          <w:rFonts w:ascii="宋体" w:hAnsi="宋体" w:cs="Arial" w:hint="eastAsia"/>
          <w:sz w:val="24"/>
        </w:rPr>
        <w:t>一同就</w:t>
      </w:r>
      <w:proofErr w:type="gramEnd"/>
      <w:r w:rsidRPr="00A94F1F">
        <w:rPr>
          <w:rFonts w:ascii="宋体" w:hAnsi="宋体" w:cs="Arial" w:hint="eastAsia"/>
          <w:sz w:val="24"/>
        </w:rPr>
        <w:t>期货开户、清算、估值、交收等事宜另行签</w:t>
      </w:r>
      <w:r>
        <w:rPr>
          <w:rFonts w:ascii="宋体" w:hAnsi="宋体" w:hint="eastAsia"/>
          <w:sz w:val="24"/>
        </w:rPr>
        <w:t>署《期货投资托管操作三方备忘录》。</w:t>
      </w:r>
    </w:p>
    <w:p w14:paraId="0B3DF20D" w14:textId="77777777" w:rsidR="00A94F1F" w:rsidRDefault="00E53946">
      <w:pPr>
        <w:adjustRightInd w:val="0"/>
        <w:snapToGrid w:val="0"/>
        <w:spacing w:line="360" w:lineRule="auto"/>
        <w:ind w:firstLine="480"/>
        <w:rPr>
          <w:rFonts w:ascii="宋体" w:hAnsi="宋体" w:cs="Arial"/>
          <w:sz w:val="24"/>
        </w:rPr>
      </w:pPr>
      <w:r>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67E77ED" w14:textId="45BD53A0"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（二）基金投资证券后的清算交收安排</w:t>
      </w:r>
    </w:p>
    <w:p w14:paraId="57C05062" w14:textId="77777777" w:rsidR="00F4663A" w:rsidRPr="00666930" w:rsidRDefault="00F4663A" w:rsidP="00666930">
      <w:pPr>
        <w:adjustRightInd w:val="0"/>
        <w:snapToGrid w:val="0"/>
        <w:spacing w:line="360" w:lineRule="auto"/>
        <w:ind w:firstLine="480"/>
        <w:rPr>
          <w:rFonts w:ascii="宋体" w:hAnsi="宋体" w:cs="Arial"/>
          <w:sz w:val="24"/>
        </w:rPr>
      </w:pPr>
      <w:r w:rsidRPr="00666930">
        <w:rPr>
          <w:rFonts w:ascii="宋体" w:hAnsi="宋体" w:cs="Arial"/>
          <w:sz w:val="24"/>
        </w:rPr>
        <w:t>1.</w:t>
      </w:r>
      <w:r w:rsidRPr="00666930">
        <w:rPr>
          <w:rFonts w:ascii="宋体" w:hAnsi="宋体" w:cs="Arial" w:hint="eastAsia"/>
          <w:sz w:val="24"/>
        </w:rPr>
        <w:t>清算交收</w:t>
      </w:r>
      <w:r w:rsidRPr="00666930">
        <w:rPr>
          <w:rFonts w:ascii="宋体" w:hAnsi="宋体" w:cs="Arial"/>
          <w:sz w:val="24"/>
        </w:rPr>
        <w:t xml:space="preserve"> </w:t>
      </w:r>
    </w:p>
    <w:p w14:paraId="2876D5B8" w14:textId="3DDC940A" w:rsidR="00F4663A" w:rsidRDefault="00F4663A" w:rsidP="00666930">
      <w:pPr>
        <w:adjustRightInd w:val="0"/>
        <w:snapToGrid w:val="0"/>
        <w:spacing w:line="360" w:lineRule="auto"/>
        <w:ind w:firstLine="480"/>
        <w:rPr>
          <w:rFonts w:ascii="宋体" w:hAnsi="宋体" w:cs="Arial"/>
          <w:sz w:val="24"/>
        </w:rPr>
      </w:pPr>
      <w:r w:rsidRPr="00666930">
        <w:rPr>
          <w:rFonts w:ascii="宋体" w:hAnsi="宋体" w:cs="Arial" w:hint="eastAsia"/>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74DBD1F7" w14:textId="34C1086C" w:rsidR="00F4663A" w:rsidRDefault="00F4663A" w:rsidP="00666930">
      <w:pPr>
        <w:adjustRightInd w:val="0"/>
        <w:snapToGrid w:val="0"/>
        <w:spacing w:line="360" w:lineRule="auto"/>
        <w:ind w:firstLine="480"/>
        <w:rPr>
          <w:rFonts w:ascii="宋体" w:hAnsi="宋体" w:cs="Arial"/>
          <w:sz w:val="24"/>
        </w:rPr>
      </w:pPr>
      <w:r w:rsidRPr="00666930">
        <w:rPr>
          <w:rFonts w:ascii="宋体" w:hAnsi="宋体" w:cs="Arial" w:hint="eastAsia"/>
          <w:sz w:val="24"/>
        </w:rPr>
        <w:t>证券经纪机构代理本基金财产与中登公司完成证券交易及</w:t>
      </w:r>
      <w:proofErr w:type="gramStart"/>
      <w:r w:rsidRPr="00666930">
        <w:rPr>
          <w:rFonts w:ascii="宋体" w:hAnsi="宋体" w:cs="Arial" w:hint="eastAsia"/>
          <w:sz w:val="24"/>
        </w:rPr>
        <w:t>非交易</w:t>
      </w:r>
      <w:proofErr w:type="gramEnd"/>
      <w:r w:rsidRPr="00666930">
        <w:rPr>
          <w:rFonts w:ascii="宋体" w:hAnsi="宋体" w:cs="Arial" w:hint="eastAsia"/>
          <w:sz w:val="24"/>
        </w:rPr>
        <w:t>涉及的证券资金结算业务，并承担由证券经纪机构原因造成的正常结算、交收业务无法完成的责任；若由于基金管理</w:t>
      </w:r>
      <w:proofErr w:type="gramStart"/>
      <w:r w:rsidRPr="00666930">
        <w:rPr>
          <w:rFonts w:ascii="宋体" w:hAnsi="宋体" w:cs="Arial" w:hint="eastAsia"/>
          <w:sz w:val="24"/>
        </w:rPr>
        <w:t>人原因</w:t>
      </w:r>
      <w:proofErr w:type="gramEnd"/>
      <w:r w:rsidRPr="00666930">
        <w:rPr>
          <w:rFonts w:ascii="宋体" w:hAnsi="宋体" w:cs="Arial" w:hint="eastAsia"/>
          <w:sz w:val="24"/>
        </w:rPr>
        <w:t>造成的正常结算业务无法完成，责任由基金管理人承担。</w:t>
      </w:r>
    </w:p>
    <w:p w14:paraId="08CF5BAE" w14:textId="67BD5F9A" w:rsidR="00F4663A" w:rsidRPr="00666930" w:rsidRDefault="00F4663A" w:rsidP="00666930">
      <w:pPr>
        <w:adjustRightInd w:val="0"/>
        <w:snapToGrid w:val="0"/>
        <w:spacing w:line="360" w:lineRule="auto"/>
        <w:ind w:firstLine="480"/>
        <w:rPr>
          <w:rFonts w:ascii="宋体" w:hAnsi="宋体" w:cs="Arial"/>
          <w:sz w:val="24"/>
        </w:rPr>
      </w:pPr>
      <w:r w:rsidRPr="00666930">
        <w:rPr>
          <w:rFonts w:ascii="宋体" w:hAnsi="宋体" w:cs="Arial" w:hint="eastAsia"/>
          <w:sz w:val="24"/>
        </w:rPr>
        <w:t>对于任何原因发生的证券资金交收违约事件，相关各方应当及时协商解决。由于相关方过错在清算上造成基金财产的直接损失，应由过错方承担相应责任。</w:t>
      </w:r>
      <w:r w:rsidRPr="00666930">
        <w:rPr>
          <w:rFonts w:ascii="宋体" w:hAnsi="宋体" w:cs="Arial"/>
          <w:sz w:val="24"/>
        </w:rPr>
        <w:t xml:space="preserve"> </w:t>
      </w:r>
    </w:p>
    <w:p w14:paraId="1EDB9E98" w14:textId="7E68997B" w:rsidR="001F0793" w:rsidRDefault="00A94F1F" w:rsidP="00666930">
      <w:pPr>
        <w:adjustRightInd w:val="0"/>
        <w:snapToGrid w:val="0"/>
        <w:spacing w:line="360" w:lineRule="auto"/>
        <w:ind w:firstLine="480"/>
        <w:rPr>
          <w:rFonts w:ascii="宋体" w:hAnsi="宋体"/>
          <w:sz w:val="24"/>
        </w:rPr>
      </w:pPr>
      <w:r w:rsidRPr="00F4663A">
        <w:rPr>
          <w:rFonts w:ascii="宋体" w:hAnsi="宋体" w:cs="Arial"/>
          <w:sz w:val="24"/>
        </w:rPr>
        <w:t>2</w:t>
      </w:r>
      <w:r w:rsidR="00E53946" w:rsidRPr="00F4663A">
        <w:rPr>
          <w:rFonts w:ascii="宋体" w:hAnsi="宋体" w:cs="Arial" w:hint="eastAsia"/>
          <w:sz w:val="24"/>
        </w:rPr>
        <w:t>.交易记录</w:t>
      </w:r>
      <w:r w:rsidR="00E53946">
        <w:rPr>
          <w:rFonts w:ascii="宋体" w:hAnsi="宋体" w:hint="eastAsia"/>
          <w:sz w:val="24"/>
        </w:rPr>
        <w:t>、资金和证券</w:t>
      </w:r>
      <w:r>
        <w:rPr>
          <w:rFonts w:ascii="宋体" w:hAnsi="宋体" w:hint="eastAsia"/>
          <w:sz w:val="24"/>
        </w:rPr>
        <w:t>/期货</w:t>
      </w:r>
      <w:r w:rsidR="00E53946">
        <w:rPr>
          <w:rFonts w:ascii="宋体" w:hAnsi="宋体" w:hint="eastAsia"/>
          <w:sz w:val="24"/>
        </w:rPr>
        <w:t>账目核对的时间和方式</w:t>
      </w:r>
    </w:p>
    <w:p w14:paraId="6A5FEBC8" w14:textId="6D0EE91F" w:rsidR="001F0793" w:rsidRDefault="00E53946" w:rsidP="000734C2">
      <w:pPr>
        <w:adjustRightInd w:val="0"/>
        <w:snapToGrid w:val="0"/>
        <w:spacing w:line="360" w:lineRule="auto"/>
        <w:ind w:firstLineChars="200" w:firstLine="480"/>
        <w:rPr>
          <w:rFonts w:ascii="宋体" w:hAnsi="宋体"/>
          <w:sz w:val="24"/>
        </w:rPr>
      </w:pPr>
      <w:r>
        <w:rPr>
          <w:rFonts w:ascii="宋体" w:hAnsi="宋体" w:hint="eastAsia"/>
          <w:sz w:val="24"/>
        </w:rPr>
        <w:t>（1）交易记录的核对</w:t>
      </w:r>
    </w:p>
    <w:p w14:paraId="7CE54B31" w14:textId="3DC8BD96" w:rsidR="001F0793" w:rsidRDefault="00E53946">
      <w:pPr>
        <w:adjustRightInd w:val="0"/>
        <w:snapToGrid w:val="0"/>
        <w:spacing w:line="360" w:lineRule="auto"/>
        <w:ind w:firstLineChars="200" w:firstLine="480"/>
        <w:rPr>
          <w:rFonts w:ascii="宋体" w:hAnsi="宋体" w:cs="Arial"/>
          <w:sz w:val="24"/>
        </w:rPr>
      </w:pPr>
      <w:r>
        <w:rPr>
          <w:rFonts w:ascii="宋体" w:hAnsi="宋体" w:hint="eastAsia"/>
          <w:sz w:val="24"/>
        </w:rPr>
        <w:t>基金管理人按日进行交易记录的核对。每日对外披露净值之前，必须保证当天所有实际交易记录与基金会计</w:t>
      </w:r>
      <w:r>
        <w:rPr>
          <w:rFonts w:ascii="宋体" w:hAnsi="宋体" w:hint="eastAsia"/>
          <w:kern w:val="0"/>
          <w:sz w:val="24"/>
        </w:rPr>
        <w:t>账簿上的交易记录完全一致。如果实际交易记录与会计账簿记录不一致，造成基金会计核算不完整或不真实，由此导致的损失由基金管理人承担。</w:t>
      </w:r>
    </w:p>
    <w:p w14:paraId="03829A74" w14:textId="04D9CA2C"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（2）资金账目的核对</w:t>
      </w:r>
    </w:p>
    <w:p w14:paraId="446C0D29" w14:textId="1F3EA434"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资金账目按日核实。</w:t>
      </w:r>
    </w:p>
    <w:p w14:paraId="0041C081" w14:textId="632552CF"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（3）证券账目的核对</w:t>
      </w:r>
    </w:p>
    <w:p w14:paraId="7582C9D6" w14:textId="29E6B242"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基金管理人和基金托管人每个估值日结束后核对基金证券账目，确保双方账目相符。</w:t>
      </w:r>
    </w:p>
    <w:p w14:paraId="358600B1" w14:textId="0DD5022A"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lastRenderedPageBreak/>
        <w:t>（</w:t>
      </w:r>
      <w:r w:rsidR="000956F8">
        <w:rPr>
          <w:rFonts w:ascii="宋体" w:hAnsi="宋体" w:cs="Arial" w:hint="eastAsia"/>
          <w:sz w:val="24"/>
        </w:rPr>
        <w:t>三</w:t>
      </w:r>
      <w:r>
        <w:rPr>
          <w:rFonts w:ascii="宋体" w:hAnsi="宋体" w:cs="Arial" w:hint="eastAsia"/>
          <w:sz w:val="24"/>
        </w:rPr>
        <w:t>）基金申购和赎回业务处理的基本规定</w:t>
      </w:r>
    </w:p>
    <w:p w14:paraId="70D56861"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1.基金份额申购、赎回的确认、清算由基金管理人或其委托的注册登记机构负责。</w:t>
      </w:r>
    </w:p>
    <w:p w14:paraId="46124886"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6751D1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3.基金管理人应保证本基金（或本基金管理人委托）的注册登记机构每个工作日15:00前向基金托管人发送前一开放</w:t>
      </w:r>
      <w:proofErr w:type="gramStart"/>
      <w:r>
        <w:rPr>
          <w:rFonts w:ascii="宋体" w:hAnsi="宋体" w:cs="Arial" w:hint="eastAsia"/>
          <w:sz w:val="24"/>
        </w:rPr>
        <w:t>日上述</w:t>
      </w:r>
      <w:proofErr w:type="gramEnd"/>
      <w:r>
        <w:rPr>
          <w:rFonts w:ascii="宋体" w:hAnsi="宋体" w:cs="Arial" w:hint="eastAsia"/>
          <w:sz w:val="24"/>
        </w:rPr>
        <w:t>有关数据，并保证相关数据的准确、完整。</w:t>
      </w:r>
    </w:p>
    <w:p w14:paraId="15EAB29C"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4.注册登记机构应通过与基金托管人建立的加密系统发送有关数据，如因各种原因，该系统无法正常发送，双方可协商解决处理方式。基金管理人向基金托管人发送的数据，双方各自按有关规定保存。</w:t>
      </w:r>
    </w:p>
    <w:p w14:paraId="67D2D2A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5.如基金管理人委托其他机构办理本基金的注册登记业务，应保证上述相关事宜按时进行。否则，由基金管理人承担相应的责任。</w:t>
      </w:r>
    </w:p>
    <w:p w14:paraId="1DE9260B"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6.关于清算专用账户的设立和管理</w:t>
      </w:r>
    </w:p>
    <w:p w14:paraId="14653CC1"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为满足申购、赎回及分红资金汇划的需要，由基金管理人开立资金清算的专用账户，该账户由注册登记机构管理。</w:t>
      </w:r>
    </w:p>
    <w:p w14:paraId="0AD879E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2DC958D4"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8.赎回和分红资金划拨规定</w:t>
      </w:r>
    </w:p>
    <w:p w14:paraId="2061828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拨付</w:t>
      </w:r>
      <w:proofErr w:type="gramStart"/>
      <w:r>
        <w:rPr>
          <w:rFonts w:ascii="宋体" w:hAnsi="宋体" w:cs="Arial" w:hint="eastAsia"/>
          <w:sz w:val="24"/>
        </w:rPr>
        <w:t>赎回款</w:t>
      </w:r>
      <w:proofErr w:type="gramEnd"/>
      <w:r>
        <w:rPr>
          <w:rFonts w:ascii="宋体" w:hAnsi="宋体" w:cs="Arial" w:hint="eastAsia"/>
          <w:sz w:val="24"/>
        </w:rPr>
        <w:t>或进行基金分红时，如基金托管资金账户有足够的资金，基金托管人应按时拨付；因基金托管资金账户没有足够的资金，导致基金托管人不能按时拨付，如</w:t>
      </w:r>
      <w:proofErr w:type="gramStart"/>
      <w:r>
        <w:rPr>
          <w:rFonts w:ascii="宋体" w:hAnsi="宋体" w:cs="Arial" w:hint="eastAsia"/>
          <w:sz w:val="24"/>
        </w:rPr>
        <w:t>系基金</w:t>
      </w:r>
      <w:proofErr w:type="gramEnd"/>
      <w:r>
        <w:rPr>
          <w:rFonts w:ascii="宋体" w:hAnsi="宋体" w:cs="Arial" w:hint="eastAsia"/>
          <w:sz w:val="24"/>
        </w:rPr>
        <w:t>管理人的原因造成，责任由基金管理人承担，基金托管人不承担垫款义务。</w:t>
      </w:r>
    </w:p>
    <w:p w14:paraId="57DA244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9.资金指令</w:t>
      </w:r>
    </w:p>
    <w:p w14:paraId="66AE9574"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除申购款项到达基金托管资金账户需双方按约定方式对账外，回购到期付款和与投资有关的付款、赎回和分红资金划拨时，基金管理人需向基金托管人下达指</w:t>
      </w:r>
      <w:r>
        <w:rPr>
          <w:rFonts w:ascii="宋体" w:hAnsi="宋体" w:cs="Arial" w:hint="eastAsia"/>
          <w:sz w:val="24"/>
        </w:rPr>
        <w:lastRenderedPageBreak/>
        <w:t>令。</w:t>
      </w:r>
    </w:p>
    <w:p w14:paraId="52A85EED"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资金指令的格式、内容、发送、接收和确认方式等与投资指令相同。</w:t>
      </w:r>
    </w:p>
    <w:p w14:paraId="204E977F" w14:textId="3FC0D01D"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w:t>
      </w:r>
      <w:r w:rsidR="000956F8">
        <w:rPr>
          <w:rFonts w:ascii="宋体" w:hAnsi="宋体" w:cs="Arial" w:hint="eastAsia"/>
          <w:sz w:val="24"/>
        </w:rPr>
        <w:t>四</w:t>
      </w:r>
      <w:r>
        <w:rPr>
          <w:rFonts w:ascii="宋体" w:hAnsi="宋体" w:cs="Arial" w:hint="eastAsia"/>
          <w:sz w:val="24"/>
        </w:rPr>
        <w:t>）</w:t>
      </w:r>
      <w:proofErr w:type="gramStart"/>
      <w:r>
        <w:rPr>
          <w:rFonts w:ascii="宋体" w:hAnsi="宋体" w:cs="Arial" w:hint="eastAsia"/>
          <w:sz w:val="24"/>
        </w:rPr>
        <w:t>申赎净额</w:t>
      </w:r>
      <w:proofErr w:type="gramEnd"/>
      <w:r>
        <w:rPr>
          <w:rFonts w:ascii="宋体" w:hAnsi="宋体" w:cs="Arial" w:hint="eastAsia"/>
          <w:sz w:val="24"/>
        </w:rPr>
        <w:t>结算</w:t>
      </w:r>
    </w:p>
    <w:p w14:paraId="02169E1C" w14:textId="77777777"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t>基金托管资金账户与“基金清算账户”间的资金结算遵循“全额清算、净额交收”的原则，每日(T日：资金交收日，下同)按照托管资金账户应收资金与应付资金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日10:00前将划款指令发送给基金托管人,基金托管人按基金管理人的划款指令将托管资金账户净应付额在T日15:00之前</w:t>
      </w:r>
      <w:proofErr w:type="gramStart"/>
      <w:r>
        <w:rPr>
          <w:rFonts w:ascii="宋体" w:hAnsi="宋体" w:cs="Arial" w:hint="eastAsia"/>
          <w:sz w:val="24"/>
        </w:rPr>
        <w:t>划往基金</w:t>
      </w:r>
      <w:proofErr w:type="gramEnd"/>
      <w:r>
        <w:rPr>
          <w:rFonts w:ascii="宋体" w:hAnsi="宋体" w:cs="Arial" w:hint="eastAsia"/>
          <w:sz w:val="24"/>
        </w:rPr>
        <w:t>清算账户。</w:t>
      </w:r>
    </w:p>
    <w:p w14:paraId="38BC49C6" w14:textId="62FCAD9E"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t>（</w:t>
      </w:r>
      <w:r w:rsidR="000956F8">
        <w:rPr>
          <w:rFonts w:ascii="宋体" w:hAnsi="宋体" w:cs="Arial" w:hint="eastAsia"/>
          <w:sz w:val="24"/>
        </w:rPr>
        <w:t>五</w:t>
      </w:r>
      <w:r>
        <w:rPr>
          <w:rFonts w:ascii="宋体" w:hAnsi="宋体" w:cs="Arial" w:hint="eastAsia"/>
          <w:sz w:val="24"/>
        </w:rPr>
        <w:t>）基金转换</w:t>
      </w:r>
    </w:p>
    <w:p w14:paraId="2A671437"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1.在本基金与基金管理人管理的其它基金开展转换业务之前，基金管理人应函告基金托管人并就相关事宜进行协商。</w:t>
      </w:r>
    </w:p>
    <w:p w14:paraId="4F7F3FF2" w14:textId="77777777"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t>2.基金托管人将根据基金管理人传送的基金转换数据进行账务处理，</w:t>
      </w:r>
      <w:proofErr w:type="gramStart"/>
      <w:r>
        <w:rPr>
          <w:rFonts w:ascii="宋体" w:hAnsi="宋体" w:cs="Arial" w:hint="eastAsia"/>
          <w:sz w:val="24"/>
        </w:rPr>
        <w:t>具体资金</w:t>
      </w:r>
      <w:proofErr w:type="gramEnd"/>
      <w:r>
        <w:rPr>
          <w:rFonts w:ascii="宋体" w:hAnsi="宋体" w:cs="Arial" w:hint="eastAsia"/>
          <w:sz w:val="24"/>
        </w:rPr>
        <w:t>清算和数据传递的时间、程序及托管协议当事人承担的权责按基金管理人届时的公告执行。</w:t>
      </w:r>
    </w:p>
    <w:p w14:paraId="5FC50912" w14:textId="77777777"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t>3.本基金开展基金转换业务应按相关法律法规规定及《基金合同》的约定进行公告。</w:t>
      </w:r>
    </w:p>
    <w:p w14:paraId="24F9CF6F" w14:textId="129D7260" w:rsidR="001F0793" w:rsidRDefault="00E53946">
      <w:pPr>
        <w:adjustRightInd w:val="0"/>
        <w:snapToGrid w:val="0"/>
        <w:spacing w:line="360" w:lineRule="auto"/>
        <w:ind w:firstLine="480"/>
        <w:outlineLvl w:val="0"/>
        <w:rPr>
          <w:rFonts w:ascii="宋体" w:hAnsi="宋体" w:cs="Arial"/>
          <w:sz w:val="24"/>
        </w:rPr>
      </w:pPr>
      <w:r>
        <w:rPr>
          <w:rFonts w:ascii="宋体" w:hAnsi="宋体" w:cs="Arial" w:hint="eastAsia"/>
          <w:sz w:val="24"/>
        </w:rPr>
        <w:t>（</w:t>
      </w:r>
      <w:r w:rsidR="000956F8">
        <w:rPr>
          <w:rFonts w:ascii="宋体" w:hAnsi="宋体" w:cs="Arial" w:hint="eastAsia"/>
          <w:sz w:val="24"/>
        </w:rPr>
        <w:t>六</w:t>
      </w:r>
      <w:r>
        <w:rPr>
          <w:rFonts w:ascii="宋体" w:hAnsi="宋体" w:cs="Arial" w:hint="eastAsia"/>
          <w:sz w:val="24"/>
        </w:rPr>
        <w:t>）基金现金分红</w:t>
      </w:r>
    </w:p>
    <w:p w14:paraId="1E978B4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1.基金管理人确定分红方案通知基金托管人，双方核定后</w:t>
      </w:r>
      <w:r>
        <w:rPr>
          <w:rFonts w:ascii="宋体" w:hAnsi="宋体" w:hint="eastAsia"/>
          <w:sz w:val="24"/>
          <w:szCs w:val="18"/>
        </w:rPr>
        <w:t>依照《信息披露办法》的有关规定在中国证监会规定媒介上公告</w:t>
      </w:r>
      <w:r>
        <w:rPr>
          <w:rFonts w:ascii="宋体" w:hAnsi="宋体" w:cs="Arial" w:hint="eastAsia"/>
          <w:sz w:val="24"/>
        </w:rPr>
        <w:t>。</w:t>
      </w:r>
    </w:p>
    <w:p w14:paraId="36C6CDE1" w14:textId="77777777" w:rsidR="001F0793" w:rsidRDefault="00E53946">
      <w:pPr>
        <w:adjustRightInd w:val="0"/>
        <w:snapToGrid w:val="0"/>
        <w:spacing w:line="360" w:lineRule="auto"/>
        <w:ind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03D4F53A" w14:textId="77777777" w:rsidR="001F0793" w:rsidRDefault="00E53946">
      <w:pPr>
        <w:spacing w:line="360" w:lineRule="auto"/>
        <w:ind w:firstLine="480"/>
        <w:rPr>
          <w:rFonts w:ascii="宋体" w:hAnsi="宋体" w:cs="Arial"/>
          <w:sz w:val="24"/>
        </w:rPr>
      </w:pPr>
      <w:r>
        <w:rPr>
          <w:rFonts w:ascii="宋体" w:hAnsi="宋体" w:cs="Arial" w:hint="eastAsia"/>
          <w:sz w:val="24"/>
        </w:rPr>
        <w:t>3.基金管理人在下达指令时，应给基金托管人留出必需的划款时间。</w:t>
      </w:r>
    </w:p>
    <w:p w14:paraId="1BD0664C" w14:textId="3D397689" w:rsidR="001F0793" w:rsidRDefault="00E53946">
      <w:pPr>
        <w:spacing w:line="360" w:lineRule="auto"/>
        <w:ind w:firstLine="480"/>
        <w:rPr>
          <w:rFonts w:ascii="宋体" w:hAnsi="宋体" w:cs="Arial"/>
          <w:sz w:val="24"/>
        </w:rPr>
      </w:pPr>
      <w:r>
        <w:rPr>
          <w:rFonts w:ascii="宋体" w:hAnsi="宋体" w:cs="Arial" w:hint="eastAsia"/>
          <w:sz w:val="24"/>
        </w:rPr>
        <w:t>（</w:t>
      </w:r>
      <w:r w:rsidR="000956F8">
        <w:rPr>
          <w:rFonts w:ascii="宋体" w:hAnsi="宋体" w:cs="Arial" w:hint="eastAsia"/>
          <w:sz w:val="24"/>
        </w:rPr>
        <w:t>七</w:t>
      </w:r>
      <w:r>
        <w:rPr>
          <w:rFonts w:ascii="宋体" w:hAnsi="宋体" w:cs="Arial" w:hint="eastAsia"/>
          <w:sz w:val="24"/>
        </w:rPr>
        <w:t>）投资银行存款的特别约定</w:t>
      </w:r>
    </w:p>
    <w:p w14:paraId="24F13C3D" w14:textId="77777777" w:rsidR="001F0793" w:rsidRDefault="00E53946">
      <w:pPr>
        <w:spacing w:line="360" w:lineRule="auto"/>
        <w:ind w:firstLine="480"/>
        <w:rPr>
          <w:rFonts w:ascii="宋体" w:hAnsi="宋体" w:cs="Arial"/>
          <w:sz w:val="24"/>
        </w:rPr>
      </w:pPr>
      <w:r>
        <w:rPr>
          <w:rFonts w:ascii="宋体" w:hAnsi="宋体" w:cs="Arial" w:hint="eastAsia"/>
          <w:sz w:val="24"/>
        </w:rPr>
        <w:t>1.本基金投资银行存款前，基金管理人应与存款银行签订具体存款协议，包括但不限于以下内容：</w:t>
      </w:r>
    </w:p>
    <w:p w14:paraId="55A0C6B4" w14:textId="77777777" w:rsidR="001F0793" w:rsidRDefault="00E53946">
      <w:pPr>
        <w:spacing w:line="360" w:lineRule="auto"/>
        <w:ind w:firstLine="480"/>
        <w:rPr>
          <w:rFonts w:ascii="宋体" w:hAnsi="宋体" w:cs="Arial"/>
          <w:sz w:val="24"/>
        </w:rPr>
      </w:pPr>
      <w:r>
        <w:rPr>
          <w:rFonts w:ascii="宋体" w:hAnsi="宋体" w:cs="Arial" w:hint="eastAsia"/>
          <w:sz w:val="24"/>
        </w:rPr>
        <w:t>（1）存款账户必须以本基金名义开立,并将基金托管人为本基金开立的基金托管资金账户指定为唯一回款账户，任何情况下，存款银行都不得将存款投资</w:t>
      </w:r>
      <w:proofErr w:type="gramStart"/>
      <w:r>
        <w:rPr>
          <w:rFonts w:ascii="宋体" w:hAnsi="宋体" w:cs="Arial" w:hint="eastAsia"/>
          <w:sz w:val="24"/>
        </w:rPr>
        <w:t>本息划往任何</w:t>
      </w:r>
      <w:proofErr w:type="gramEnd"/>
      <w:r>
        <w:rPr>
          <w:rFonts w:ascii="宋体" w:hAnsi="宋体" w:cs="Arial" w:hint="eastAsia"/>
          <w:sz w:val="24"/>
        </w:rPr>
        <w:t>其他账户。</w:t>
      </w:r>
    </w:p>
    <w:p w14:paraId="13F3B95D" w14:textId="77777777" w:rsidR="001F0793" w:rsidRDefault="00E53946">
      <w:pPr>
        <w:spacing w:line="360" w:lineRule="auto"/>
        <w:ind w:firstLine="480"/>
        <w:rPr>
          <w:rFonts w:ascii="宋体" w:hAnsi="宋体" w:cs="Arial"/>
          <w:sz w:val="24"/>
        </w:rPr>
      </w:pPr>
      <w:r>
        <w:rPr>
          <w:rFonts w:ascii="宋体"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081AF3B0" w14:textId="77777777" w:rsidR="001F0793" w:rsidRDefault="00E53946">
      <w:pPr>
        <w:spacing w:line="360" w:lineRule="auto"/>
        <w:ind w:firstLine="480"/>
        <w:rPr>
          <w:rFonts w:ascii="宋体" w:hAnsi="宋体" w:cs="Arial"/>
          <w:sz w:val="24"/>
        </w:rPr>
      </w:pPr>
      <w:r>
        <w:rPr>
          <w:rFonts w:ascii="宋体" w:hAnsi="宋体" w:cs="Arial" w:hint="eastAsia"/>
          <w:sz w:val="24"/>
        </w:rPr>
        <w:t>（3）约定存款证实书的具体传递交接方式及交接期限。</w:t>
      </w:r>
    </w:p>
    <w:p w14:paraId="0D0364AF" w14:textId="77777777" w:rsidR="001F0793" w:rsidRDefault="00E53946">
      <w:pPr>
        <w:spacing w:line="360" w:lineRule="auto"/>
        <w:ind w:firstLine="480"/>
        <w:rPr>
          <w:rFonts w:ascii="宋体" w:hAnsi="宋体" w:cs="Arial"/>
          <w:sz w:val="24"/>
        </w:rPr>
      </w:pPr>
      <w:r>
        <w:rPr>
          <w:rFonts w:ascii="宋体" w:hAnsi="宋体" w:cs="Arial" w:hint="eastAsia"/>
          <w:sz w:val="24"/>
        </w:rPr>
        <w:t>（4）资金划转过程中需要使用存款银行过渡账户的，存款银行须保证资金在过渡账户中不出现滞留，不被挪用。</w:t>
      </w:r>
    </w:p>
    <w:p w14:paraId="563A347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1FB772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715BB72" w14:textId="4B873E92" w:rsidR="001F0793" w:rsidRDefault="00E53946">
      <w:pPr>
        <w:adjustRightInd w:val="0"/>
        <w:snapToGrid w:val="0"/>
        <w:spacing w:line="360" w:lineRule="auto"/>
        <w:ind w:firstLineChars="200" w:firstLine="480"/>
        <w:rPr>
          <w:rFonts w:ascii="宋体" w:hAnsi="宋体" w:cs="Arial"/>
          <w:sz w:val="24"/>
        </w:rPr>
      </w:pPr>
      <w:r>
        <w:rPr>
          <w:rFonts w:ascii="宋体" w:hAnsi="宋体" w:cs="Arial"/>
          <w:sz w:val="24"/>
        </w:rPr>
        <w:t>4</w:t>
      </w:r>
      <w:r w:rsidR="007523C4">
        <w:rPr>
          <w:rFonts w:ascii="宋体" w:hAnsi="宋体" w:cs="Arial" w:hint="eastAsia"/>
          <w:sz w:val="24"/>
        </w:rPr>
        <w:t>.</w:t>
      </w:r>
      <w:r>
        <w:rPr>
          <w:rFonts w:ascii="宋体" w:hAnsi="宋体" w:cs="Arial" w:hint="eastAsia"/>
          <w:sz w:val="24"/>
        </w:rPr>
        <w:t>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w:t>
      </w:r>
      <w:r>
        <w:rPr>
          <w:rFonts w:ascii="宋体" w:hAnsi="宋体" w:cs="Arial"/>
          <w:sz w:val="24"/>
        </w:rPr>
        <w:t>1</w:t>
      </w:r>
      <w:r>
        <w:rPr>
          <w:rFonts w:ascii="宋体" w:hAnsi="宋体" w:cs="Arial" w:hint="eastAsia"/>
          <w:sz w:val="24"/>
        </w:rPr>
        <w:t>）建立风险预警机制，对于实物凭证未送达集中度较高的存款银行，主动发</w:t>
      </w:r>
      <w:proofErr w:type="gramStart"/>
      <w:r>
        <w:rPr>
          <w:rFonts w:ascii="宋体" w:hAnsi="宋体" w:cs="Arial" w:hint="eastAsia"/>
          <w:sz w:val="24"/>
        </w:rPr>
        <w:t>函管</w:t>
      </w:r>
      <w:proofErr w:type="gramEnd"/>
      <w:r>
        <w:rPr>
          <w:rFonts w:ascii="宋体" w:hAnsi="宋体" w:cs="Arial" w:hint="eastAsia"/>
          <w:sz w:val="24"/>
        </w:rPr>
        <w:t>理人尽量避免在此类银行进行存款投资；（</w:t>
      </w:r>
      <w:r>
        <w:rPr>
          <w:rFonts w:ascii="宋体" w:hAnsi="宋体" w:cs="Arial"/>
          <w:sz w:val="24"/>
        </w:rPr>
        <w:t>2</w:t>
      </w:r>
      <w:r>
        <w:rPr>
          <w:rFonts w:ascii="宋体" w:hAnsi="宋体" w:cs="Arial" w:hint="eastAsia"/>
          <w:sz w:val="24"/>
        </w:rPr>
        <w:t>）在定期报告中，对未按约定送达基金托管人保管的实物凭证信息进行规定范围信息披露；（</w:t>
      </w:r>
      <w:r>
        <w:rPr>
          <w:rFonts w:ascii="宋体" w:hAnsi="宋体" w:cs="Arial"/>
          <w:sz w:val="24"/>
        </w:rPr>
        <w:t>3</w:t>
      </w:r>
      <w:r>
        <w:rPr>
          <w:rFonts w:ascii="宋体" w:hAnsi="宋体" w:cs="Arial" w:hint="eastAsia"/>
          <w:sz w:val="24"/>
        </w:rPr>
        <w:t>）未送达实物凭证超过送单截止日后</w:t>
      </w:r>
      <w:r>
        <w:rPr>
          <w:rFonts w:ascii="宋体" w:hAnsi="宋体" w:cs="Arial"/>
          <w:sz w:val="24"/>
        </w:rPr>
        <w:t>30</w:t>
      </w:r>
      <w:r>
        <w:rPr>
          <w:rFonts w:ascii="宋体" w:hAnsi="宋体" w:cs="Arial" w:hint="eastAsia"/>
          <w:sz w:val="24"/>
        </w:rPr>
        <w:t>个工作日，且累计超过</w:t>
      </w:r>
      <w:r>
        <w:rPr>
          <w:rFonts w:ascii="宋体" w:hAnsi="宋体" w:cs="Arial"/>
          <w:sz w:val="24"/>
        </w:rPr>
        <w:t>3</w:t>
      </w:r>
      <w:r>
        <w:rPr>
          <w:rFonts w:ascii="宋体" w:hAnsi="宋体" w:cs="Arial" w:hint="eastAsia"/>
          <w:sz w:val="24"/>
        </w:rPr>
        <w:t>笔（含）以上的，部分或全部暂停配合基金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17C506CB" w14:textId="77777777" w:rsidR="001F0793" w:rsidRDefault="001F0793">
      <w:pPr>
        <w:adjustRightInd w:val="0"/>
        <w:snapToGrid w:val="0"/>
        <w:spacing w:line="360" w:lineRule="auto"/>
        <w:ind w:firstLineChars="200" w:firstLine="480"/>
        <w:rPr>
          <w:rFonts w:ascii="宋体" w:hAnsi="宋体" w:cs="Arial"/>
          <w:sz w:val="24"/>
        </w:rPr>
      </w:pPr>
    </w:p>
    <w:p w14:paraId="7CA24F51" w14:textId="77777777" w:rsidR="001F0793" w:rsidRDefault="00E53946">
      <w:pPr>
        <w:pStyle w:val="2"/>
        <w:spacing w:line="360" w:lineRule="auto"/>
        <w:jc w:val="center"/>
        <w:rPr>
          <w:rFonts w:ascii="宋体" w:eastAsia="宋体" w:hAnsi="宋体"/>
          <w:sz w:val="30"/>
        </w:rPr>
      </w:pPr>
      <w:bookmarkStart w:id="95" w:name="_Toc124325892"/>
      <w:r>
        <w:rPr>
          <w:rFonts w:ascii="宋体" w:eastAsia="宋体" w:hAnsi="宋体" w:hint="eastAsia"/>
          <w:sz w:val="30"/>
        </w:rPr>
        <w:t>八、基金资产净值计算和会计核算</w:t>
      </w:r>
      <w:bookmarkEnd w:id="95"/>
    </w:p>
    <w:p w14:paraId="79C9D1C1"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（一）基金资产净值的计算、复核与完成的时间及程序</w:t>
      </w:r>
    </w:p>
    <w:p w14:paraId="4E80D8B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1.基金资产净值是指基金资产总值减去负债后的金额。各类基金份额净值是按照每个估值日闭市后，各类基金份额的基金资产净值除以当日该类基金份额的余额总数计算，均精确到0.00</w:t>
      </w:r>
      <w:r>
        <w:rPr>
          <w:rFonts w:ascii="宋体" w:hAnsi="宋体" w:cs="Arial"/>
          <w:sz w:val="24"/>
        </w:rPr>
        <w:t>0</w:t>
      </w:r>
      <w:r>
        <w:rPr>
          <w:rFonts w:ascii="宋体" w:hAnsi="宋体" w:cs="Arial" w:hint="eastAsia"/>
          <w:sz w:val="24"/>
        </w:rPr>
        <w:t>1元，小数点后第五位四舍五入。基金管理人可以设立大额赎回情形下的净值精度应急调整机制。国家另有规定的，从其规定。</w:t>
      </w:r>
    </w:p>
    <w:p w14:paraId="4006CB3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每个估值日计算基金资产净值及各类基金份额净值，并按规定公告。</w:t>
      </w:r>
    </w:p>
    <w:p w14:paraId="5FAE8B3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w:t>
      </w:r>
      <w:proofErr w:type="gramStart"/>
      <w:r>
        <w:rPr>
          <w:rFonts w:ascii="宋体" w:hAnsi="宋体" w:cs="Arial" w:hint="eastAsia"/>
          <w:sz w:val="24"/>
        </w:rPr>
        <w:t>应每个</w:t>
      </w:r>
      <w:proofErr w:type="gramEnd"/>
      <w:r>
        <w:rPr>
          <w:rFonts w:ascii="宋体"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461FAA73" w14:textId="77777777" w:rsidR="001F0793" w:rsidRDefault="00E53946" w:rsidP="000734C2">
      <w:pPr>
        <w:adjustRightInd w:val="0"/>
        <w:snapToGrid w:val="0"/>
        <w:spacing w:line="360" w:lineRule="auto"/>
        <w:ind w:firstLineChars="200" w:firstLine="480"/>
        <w:rPr>
          <w:rFonts w:ascii="宋体" w:hAnsi="宋体" w:cs="Arial"/>
          <w:sz w:val="24"/>
        </w:rPr>
      </w:pPr>
      <w:r>
        <w:rPr>
          <w:rFonts w:ascii="宋体" w:hAnsi="宋体" w:cs="Arial" w:hint="eastAsia"/>
          <w:sz w:val="24"/>
        </w:rPr>
        <w:t>（二）基金资产估值方法和特殊情形的处理</w:t>
      </w:r>
    </w:p>
    <w:p w14:paraId="47DAE614" w14:textId="5469205B"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本基金的估值对象为基金所拥有的股票、债券、衍生工具、资产支持证券和银行存款本息、应收款项、其它投资等资产及负债。</w:t>
      </w:r>
    </w:p>
    <w:p w14:paraId="33B9611D" w14:textId="77777777" w:rsidR="001F0793" w:rsidRDefault="00E53946">
      <w:pPr>
        <w:spacing w:line="360" w:lineRule="auto"/>
        <w:ind w:firstLineChars="200" w:firstLine="480"/>
        <w:rPr>
          <w:rFonts w:asciiTheme="minorEastAsia" w:hAnsiTheme="minorEastAsia"/>
          <w:bCs/>
          <w:sz w:val="24"/>
        </w:rPr>
      </w:pPr>
      <w:r>
        <w:rPr>
          <w:rFonts w:asciiTheme="minorEastAsia" w:hAnsiTheme="minorEastAsia" w:hint="eastAsia"/>
          <w:bCs/>
          <w:sz w:val="24"/>
        </w:rPr>
        <w:t>本基金所持有的投资品种，按如下原则进行估值：</w:t>
      </w:r>
    </w:p>
    <w:p w14:paraId="10F3581E" w14:textId="2F2EEDA1" w:rsidR="006058E1" w:rsidRPr="006058E1" w:rsidRDefault="006058E1" w:rsidP="006058E1">
      <w:pPr>
        <w:spacing w:line="360" w:lineRule="auto"/>
        <w:ind w:firstLineChars="200" w:firstLine="480"/>
        <w:rPr>
          <w:bCs/>
          <w:sz w:val="24"/>
        </w:rPr>
      </w:pPr>
      <w:r w:rsidRPr="006058E1">
        <w:rPr>
          <w:rFonts w:hint="eastAsia"/>
          <w:bCs/>
          <w:sz w:val="24"/>
        </w:rPr>
        <w:t>1</w:t>
      </w:r>
      <w:r>
        <w:rPr>
          <w:rFonts w:hint="eastAsia"/>
          <w:bCs/>
          <w:sz w:val="24"/>
        </w:rPr>
        <w:t>．</w:t>
      </w:r>
      <w:r w:rsidRPr="006058E1">
        <w:rPr>
          <w:rFonts w:hint="eastAsia"/>
          <w:bCs/>
          <w:sz w:val="24"/>
        </w:rPr>
        <w:t>证券交易所上市的有价证券的估值</w:t>
      </w:r>
    </w:p>
    <w:p w14:paraId="62882D72"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1</w:t>
      </w:r>
      <w:r w:rsidRPr="006058E1">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44513F"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2</w:t>
      </w:r>
      <w:r w:rsidRPr="006058E1">
        <w:rPr>
          <w:rFonts w:hint="eastAsia"/>
          <w:bCs/>
          <w:sz w:val="24"/>
        </w:rPr>
        <w:t>）交易所上市交易或挂牌转让的不含</w:t>
      </w:r>
      <w:proofErr w:type="gramStart"/>
      <w:r w:rsidRPr="006058E1">
        <w:rPr>
          <w:rFonts w:hint="eastAsia"/>
          <w:bCs/>
          <w:sz w:val="24"/>
        </w:rPr>
        <w:t>权固定</w:t>
      </w:r>
      <w:proofErr w:type="gramEnd"/>
      <w:r w:rsidRPr="006058E1">
        <w:rPr>
          <w:rFonts w:hint="eastAsia"/>
          <w:bCs/>
          <w:sz w:val="24"/>
        </w:rPr>
        <w:t>收益品种，选取估值日第三方估值基准服务机构提供的相应品种当日的估值全价；交易所上市交易或挂牌转让的含</w:t>
      </w:r>
      <w:proofErr w:type="gramStart"/>
      <w:r w:rsidRPr="006058E1">
        <w:rPr>
          <w:rFonts w:hint="eastAsia"/>
          <w:bCs/>
          <w:sz w:val="24"/>
        </w:rPr>
        <w:t>权固定</w:t>
      </w:r>
      <w:proofErr w:type="gramEnd"/>
      <w:r w:rsidRPr="006058E1">
        <w:rPr>
          <w:rFonts w:hint="eastAsia"/>
          <w:bCs/>
          <w:sz w:val="24"/>
        </w:rPr>
        <w:t>收益品种，选取估值日第三方估值基准服务机构提供的相应品种当日的唯一估值全价或推荐估值全价；</w:t>
      </w:r>
    </w:p>
    <w:p w14:paraId="60EDA7C4"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3</w:t>
      </w:r>
      <w:r w:rsidRPr="006058E1">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849E7CB"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4</w:t>
      </w:r>
      <w:r w:rsidRPr="006058E1">
        <w:rPr>
          <w:rFonts w:hint="eastAsia"/>
          <w:bCs/>
          <w:sz w:val="24"/>
        </w:rPr>
        <w:t>）交易所上市不存在活跃市场的有价证券，采用估值技术确定公允价值。</w:t>
      </w:r>
    </w:p>
    <w:p w14:paraId="664E0533" w14:textId="41E3C2A3" w:rsidR="006058E1" w:rsidRPr="006058E1" w:rsidRDefault="006058E1" w:rsidP="006058E1">
      <w:pPr>
        <w:spacing w:line="360" w:lineRule="auto"/>
        <w:ind w:firstLineChars="200" w:firstLine="480"/>
        <w:rPr>
          <w:bCs/>
          <w:sz w:val="24"/>
        </w:rPr>
      </w:pPr>
      <w:r w:rsidRPr="006058E1">
        <w:rPr>
          <w:rFonts w:hint="eastAsia"/>
          <w:bCs/>
          <w:sz w:val="24"/>
        </w:rPr>
        <w:t>2</w:t>
      </w:r>
      <w:r>
        <w:rPr>
          <w:rFonts w:hint="eastAsia"/>
          <w:bCs/>
          <w:sz w:val="24"/>
        </w:rPr>
        <w:t>．</w:t>
      </w:r>
      <w:r w:rsidRPr="006058E1">
        <w:rPr>
          <w:rFonts w:hint="eastAsia"/>
          <w:bCs/>
          <w:sz w:val="24"/>
        </w:rPr>
        <w:t>处于未上市期间或流通受限的有价证券应区分如下情况处理：</w:t>
      </w:r>
    </w:p>
    <w:p w14:paraId="5A2A670B"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1</w:t>
      </w:r>
      <w:r w:rsidRPr="006058E1">
        <w:rPr>
          <w:rFonts w:hint="eastAsia"/>
          <w:bCs/>
          <w:sz w:val="24"/>
        </w:rPr>
        <w:t>）送股、转增股、配股和公开增发的新股，按估值日在证券交易所挂牌的</w:t>
      </w:r>
      <w:r w:rsidRPr="006058E1">
        <w:rPr>
          <w:rFonts w:hint="eastAsia"/>
          <w:bCs/>
          <w:sz w:val="24"/>
        </w:rPr>
        <w:lastRenderedPageBreak/>
        <w:t>同一股票的估值方法估值；该日无交易的，以最近一日的市价（收盘价）估值；</w:t>
      </w:r>
      <w:r w:rsidRPr="006058E1">
        <w:rPr>
          <w:rFonts w:hint="eastAsia"/>
          <w:bCs/>
          <w:sz w:val="24"/>
        </w:rPr>
        <w:t xml:space="preserve"> </w:t>
      </w:r>
    </w:p>
    <w:p w14:paraId="27BFF1F5"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2</w:t>
      </w:r>
      <w:r w:rsidRPr="006058E1">
        <w:rPr>
          <w:rFonts w:hint="eastAsia"/>
          <w:bCs/>
          <w:sz w:val="24"/>
        </w:rPr>
        <w:t>）首次公开发行未上市的股票，采用估值技术确定公允价值；</w:t>
      </w:r>
    </w:p>
    <w:p w14:paraId="09B1F922"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3</w:t>
      </w:r>
      <w:r w:rsidRPr="006058E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058E1">
        <w:rPr>
          <w:rFonts w:hint="eastAsia"/>
          <w:bCs/>
          <w:sz w:val="24"/>
        </w:rPr>
        <w:t>券</w:t>
      </w:r>
      <w:proofErr w:type="gramEnd"/>
      <w:r w:rsidRPr="006058E1">
        <w:rPr>
          <w:rFonts w:hint="eastAsia"/>
          <w:bCs/>
          <w:sz w:val="24"/>
        </w:rPr>
        <w:t>等流通受限股票，按监管机构或行业协会有关规定确定公允价值；</w:t>
      </w:r>
    </w:p>
    <w:p w14:paraId="0BAF3884" w14:textId="77777777" w:rsidR="006058E1" w:rsidRPr="006058E1" w:rsidRDefault="006058E1" w:rsidP="006058E1">
      <w:pPr>
        <w:spacing w:line="360" w:lineRule="auto"/>
        <w:ind w:firstLineChars="200" w:firstLine="480"/>
        <w:rPr>
          <w:bCs/>
          <w:sz w:val="24"/>
        </w:rPr>
      </w:pPr>
      <w:r w:rsidRPr="006058E1">
        <w:rPr>
          <w:rFonts w:hint="eastAsia"/>
          <w:bCs/>
          <w:sz w:val="24"/>
        </w:rPr>
        <w:t>（</w:t>
      </w:r>
      <w:r w:rsidRPr="006058E1">
        <w:rPr>
          <w:rFonts w:hint="eastAsia"/>
          <w:bCs/>
          <w:sz w:val="24"/>
        </w:rPr>
        <w:t>4</w:t>
      </w:r>
      <w:r w:rsidRPr="006058E1">
        <w:rPr>
          <w:rFonts w:hint="eastAsia"/>
          <w:bCs/>
          <w:sz w:val="24"/>
        </w:rPr>
        <w:t>）交易所未上市或未挂牌转让且不存在活跃市场的固定收益品种，应采用在当前情况下适用并且有足够可利用数据和其他信息支持的估值技术确定其公允价值。</w:t>
      </w:r>
    </w:p>
    <w:p w14:paraId="5C17C50B" w14:textId="63C8B5EB" w:rsidR="006058E1" w:rsidRPr="006058E1" w:rsidRDefault="006058E1" w:rsidP="006058E1">
      <w:pPr>
        <w:spacing w:line="360" w:lineRule="auto"/>
        <w:ind w:firstLineChars="200" w:firstLine="480"/>
        <w:rPr>
          <w:bCs/>
          <w:sz w:val="24"/>
        </w:rPr>
      </w:pPr>
      <w:r w:rsidRPr="006058E1">
        <w:rPr>
          <w:rFonts w:hint="eastAsia"/>
          <w:bCs/>
          <w:sz w:val="24"/>
        </w:rPr>
        <w:t>3</w:t>
      </w:r>
      <w:r>
        <w:rPr>
          <w:rFonts w:hint="eastAsia"/>
          <w:bCs/>
          <w:sz w:val="24"/>
        </w:rPr>
        <w:t>．</w:t>
      </w:r>
      <w:r w:rsidRPr="006058E1">
        <w:rPr>
          <w:rFonts w:hint="eastAsia"/>
          <w:bCs/>
          <w:sz w:val="24"/>
        </w:rPr>
        <w:t>对全国银行间市场上不含权的固定收益品种，选取估值日第三方估值基准服务机构提供的相应品种当日的估值全价；对全国银行间市场上含权的固定收益品种，选取估值日第三方估值基准服务机构提供的相应品种当日的唯一估值全价或推荐估值全价。</w:t>
      </w:r>
    </w:p>
    <w:p w14:paraId="16EF0D77" w14:textId="77777777" w:rsidR="006058E1" w:rsidRPr="006058E1" w:rsidRDefault="006058E1" w:rsidP="006058E1">
      <w:pPr>
        <w:spacing w:line="360" w:lineRule="auto"/>
        <w:ind w:firstLineChars="200" w:firstLine="480"/>
        <w:rPr>
          <w:bCs/>
          <w:sz w:val="24"/>
        </w:rPr>
      </w:pPr>
      <w:r w:rsidRPr="006058E1">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6BE4593B" w14:textId="11BC1171" w:rsidR="006058E1" w:rsidRPr="006058E1" w:rsidRDefault="006058E1" w:rsidP="006058E1">
      <w:pPr>
        <w:spacing w:line="360" w:lineRule="auto"/>
        <w:ind w:firstLineChars="200" w:firstLine="480"/>
        <w:rPr>
          <w:bCs/>
          <w:sz w:val="24"/>
        </w:rPr>
      </w:pPr>
      <w:r w:rsidRPr="006058E1">
        <w:rPr>
          <w:rFonts w:hint="eastAsia"/>
          <w:bCs/>
          <w:sz w:val="24"/>
        </w:rPr>
        <w:t>4</w:t>
      </w:r>
      <w:r>
        <w:rPr>
          <w:rFonts w:hint="eastAsia"/>
          <w:bCs/>
          <w:sz w:val="24"/>
        </w:rPr>
        <w:t>．</w:t>
      </w:r>
      <w:r w:rsidRPr="006058E1">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24025D2" w14:textId="32C26F30" w:rsidR="006058E1" w:rsidRPr="006058E1" w:rsidRDefault="006058E1" w:rsidP="006058E1">
      <w:pPr>
        <w:spacing w:line="360" w:lineRule="auto"/>
        <w:ind w:firstLineChars="200" w:firstLine="480"/>
        <w:rPr>
          <w:bCs/>
          <w:sz w:val="24"/>
        </w:rPr>
      </w:pPr>
      <w:r w:rsidRPr="006058E1">
        <w:rPr>
          <w:rFonts w:hint="eastAsia"/>
          <w:bCs/>
          <w:sz w:val="24"/>
        </w:rPr>
        <w:t>5</w:t>
      </w:r>
      <w:r>
        <w:rPr>
          <w:rFonts w:hint="eastAsia"/>
          <w:bCs/>
          <w:sz w:val="24"/>
        </w:rPr>
        <w:t>．</w:t>
      </w:r>
      <w:r w:rsidRPr="006058E1">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61F7A6A7" w14:textId="3F70A6C8" w:rsidR="006058E1" w:rsidRPr="006058E1" w:rsidRDefault="006058E1" w:rsidP="006058E1">
      <w:pPr>
        <w:spacing w:line="360" w:lineRule="auto"/>
        <w:ind w:firstLineChars="200" w:firstLine="480"/>
        <w:rPr>
          <w:bCs/>
          <w:sz w:val="24"/>
        </w:rPr>
      </w:pPr>
      <w:r w:rsidRPr="006058E1">
        <w:rPr>
          <w:rFonts w:hint="eastAsia"/>
          <w:bCs/>
          <w:sz w:val="24"/>
        </w:rPr>
        <w:t>6</w:t>
      </w:r>
      <w:r>
        <w:rPr>
          <w:rFonts w:hint="eastAsia"/>
          <w:bCs/>
          <w:sz w:val="24"/>
        </w:rPr>
        <w:t>．</w:t>
      </w:r>
      <w:r w:rsidRPr="006058E1">
        <w:rPr>
          <w:rFonts w:hint="eastAsia"/>
          <w:bCs/>
          <w:sz w:val="24"/>
        </w:rPr>
        <w:t>同一证券同时在两个或两个以上市场交易的，按证券所处的市场分别估值。</w:t>
      </w:r>
    </w:p>
    <w:p w14:paraId="74C14BCD" w14:textId="0956FB78" w:rsidR="006058E1" w:rsidRPr="006058E1" w:rsidRDefault="006058E1" w:rsidP="006058E1">
      <w:pPr>
        <w:spacing w:line="360" w:lineRule="auto"/>
        <w:ind w:firstLineChars="200" w:firstLine="480"/>
        <w:rPr>
          <w:bCs/>
          <w:sz w:val="24"/>
        </w:rPr>
      </w:pPr>
      <w:r w:rsidRPr="006058E1">
        <w:rPr>
          <w:rFonts w:hint="eastAsia"/>
          <w:bCs/>
          <w:sz w:val="24"/>
        </w:rPr>
        <w:t>7</w:t>
      </w:r>
      <w:r>
        <w:rPr>
          <w:rFonts w:hint="eastAsia"/>
          <w:bCs/>
          <w:sz w:val="24"/>
        </w:rPr>
        <w:t>．</w:t>
      </w:r>
      <w:r w:rsidRPr="006058E1">
        <w:rPr>
          <w:rFonts w:hint="eastAsia"/>
          <w:bCs/>
          <w:sz w:val="24"/>
        </w:rPr>
        <w:t>期货合约以估值当日结算价进行估值，估值当日无结算价的，且最近交易日后经济环境未发生重大变化的，采用最近交易日结算价估值。</w:t>
      </w:r>
    </w:p>
    <w:p w14:paraId="3685F055" w14:textId="41AF5CA4" w:rsidR="006058E1" w:rsidRPr="006058E1" w:rsidRDefault="006058E1" w:rsidP="006058E1">
      <w:pPr>
        <w:spacing w:line="360" w:lineRule="auto"/>
        <w:ind w:firstLineChars="200" w:firstLine="480"/>
        <w:rPr>
          <w:bCs/>
          <w:sz w:val="24"/>
        </w:rPr>
      </w:pPr>
      <w:r w:rsidRPr="006058E1">
        <w:rPr>
          <w:rFonts w:hint="eastAsia"/>
          <w:bCs/>
          <w:sz w:val="24"/>
        </w:rPr>
        <w:t>8</w:t>
      </w:r>
      <w:r>
        <w:rPr>
          <w:rFonts w:hint="eastAsia"/>
          <w:bCs/>
          <w:sz w:val="24"/>
        </w:rPr>
        <w:t>．</w:t>
      </w:r>
      <w:r w:rsidRPr="006058E1">
        <w:rPr>
          <w:rFonts w:hint="eastAsia"/>
          <w:bCs/>
          <w:sz w:val="24"/>
        </w:rPr>
        <w:t>本基金投资存托凭证的估值核算，依照境内上市交易的股票执行。</w:t>
      </w:r>
    </w:p>
    <w:p w14:paraId="4B61C645" w14:textId="6207C407" w:rsidR="006058E1" w:rsidRPr="006058E1" w:rsidRDefault="006058E1" w:rsidP="006058E1">
      <w:pPr>
        <w:spacing w:line="360" w:lineRule="auto"/>
        <w:ind w:firstLineChars="200" w:firstLine="480"/>
        <w:rPr>
          <w:bCs/>
          <w:sz w:val="24"/>
        </w:rPr>
      </w:pPr>
      <w:r w:rsidRPr="006058E1">
        <w:rPr>
          <w:rFonts w:hint="eastAsia"/>
          <w:bCs/>
          <w:sz w:val="24"/>
        </w:rPr>
        <w:t>9</w:t>
      </w:r>
      <w:r>
        <w:rPr>
          <w:rFonts w:hint="eastAsia"/>
          <w:bCs/>
          <w:sz w:val="24"/>
        </w:rPr>
        <w:t>．</w:t>
      </w:r>
      <w:r w:rsidRPr="006058E1">
        <w:rPr>
          <w:rFonts w:hint="eastAsia"/>
          <w:bCs/>
          <w:sz w:val="24"/>
        </w:rPr>
        <w:t>本基金投资股票期权，根据相关法律法规以及监管部门的规定估值。</w:t>
      </w:r>
    </w:p>
    <w:p w14:paraId="0100134C" w14:textId="7B8C7DCF" w:rsidR="006058E1" w:rsidRPr="006058E1" w:rsidRDefault="006058E1" w:rsidP="006058E1">
      <w:pPr>
        <w:spacing w:line="360" w:lineRule="auto"/>
        <w:ind w:firstLineChars="200" w:firstLine="480"/>
        <w:rPr>
          <w:bCs/>
          <w:sz w:val="24"/>
        </w:rPr>
      </w:pPr>
      <w:r w:rsidRPr="006058E1">
        <w:rPr>
          <w:rFonts w:hint="eastAsia"/>
          <w:bCs/>
          <w:sz w:val="24"/>
        </w:rPr>
        <w:lastRenderedPageBreak/>
        <w:t>10</w:t>
      </w:r>
      <w:r>
        <w:rPr>
          <w:rFonts w:hint="eastAsia"/>
          <w:bCs/>
          <w:sz w:val="24"/>
        </w:rPr>
        <w:t>．</w:t>
      </w:r>
      <w:r w:rsidRPr="006058E1">
        <w:rPr>
          <w:rFonts w:hint="eastAsia"/>
          <w:bCs/>
          <w:sz w:val="24"/>
        </w:rPr>
        <w:t>本基金参与转融通证券出借业务，按照相关法律法规和行业协会的相关规定进行估值。</w:t>
      </w:r>
    </w:p>
    <w:p w14:paraId="7AF0EFFF" w14:textId="12D8D3CE" w:rsidR="006058E1" w:rsidRPr="006058E1" w:rsidRDefault="006058E1" w:rsidP="006058E1">
      <w:pPr>
        <w:spacing w:line="360" w:lineRule="auto"/>
        <w:ind w:firstLineChars="200" w:firstLine="480"/>
        <w:rPr>
          <w:bCs/>
          <w:sz w:val="24"/>
        </w:rPr>
      </w:pPr>
      <w:r w:rsidRPr="006058E1">
        <w:rPr>
          <w:rFonts w:hint="eastAsia"/>
          <w:bCs/>
          <w:sz w:val="24"/>
        </w:rPr>
        <w:t>11</w:t>
      </w:r>
      <w:r>
        <w:rPr>
          <w:rFonts w:hint="eastAsia"/>
          <w:bCs/>
          <w:sz w:val="24"/>
        </w:rPr>
        <w:t>．</w:t>
      </w:r>
      <w:r w:rsidRPr="006058E1">
        <w:rPr>
          <w:rFonts w:hint="eastAsia"/>
          <w:bCs/>
          <w:sz w:val="24"/>
        </w:rPr>
        <w:t>当本基金发生大额申购或赎回情形时，基金管理人可以采用摆动定价机制，以确保基金估值的公平性。</w:t>
      </w:r>
    </w:p>
    <w:p w14:paraId="0833FBFB" w14:textId="7D051212" w:rsidR="006058E1" w:rsidRPr="006058E1" w:rsidRDefault="006058E1" w:rsidP="006058E1">
      <w:pPr>
        <w:spacing w:line="360" w:lineRule="auto"/>
        <w:ind w:firstLineChars="200" w:firstLine="480"/>
        <w:rPr>
          <w:bCs/>
          <w:sz w:val="24"/>
        </w:rPr>
      </w:pPr>
      <w:r w:rsidRPr="006058E1">
        <w:rPr>
          <w:rFonts w:hint="eastAsia"/>
          <w:bCs/>
          <w:sz w:val="24"/>
        </w:rPr>
        <w:t>12</w:t>
      </w:r>
      <w:r>
        <w:rPr>
          <w:rFonts w:hint="eastAsia"/>
          <w:bCs/>
          <w:sz w:val="24"/>
        </w:rPr>
        <w:t>．</w:t>
      </w:r>
      <w:r w:rsidRPr="006058E1">
        <w:rPr>
          <w:rFonts w:hint="eastAsia"/>
          <w:bCs/>
          <w:sz w:val="24"/>
        </w:rPr>
        <w:t>如有确凿证据表明按上述方法进行估值不能客观反映其公允价值的，基金管理人可根据具体情况与基金托管人商定后，按最能反映公允价值的价格估值。</w:t>
      </w:r>
    </w:p>
    <w:p w14:paraId="71A48861" w14:textId="11109E16" w:rsidR="001F0793" w:rsidRDefault="006058E1">
      <w:pPr>
        <w:spacing w:line="360" w:lineRule="auto"/>
        <w:ind w:firstLineChars="200" w:firstLine="480"/>
        <w:rPr>
          <w:bCs/>
          <w:sz w:val="24"/>
        </w:rPr>
      </w:pPr>
      <w:r w:rsidRPr="006058E1">
        <w:rPr>
          <w:rFonts w:hint="eastAsia"/>
          <w:bCs/>
          <w:sz w:val="24"/>
        </w:rPr>
        <w:t>13</w:t>
      </w:r>
      <w:r>
        <w:rPr>
          <w:rFonts w:hint="eastAsia"/>
          <w:bCs/>
          <w:sz w:val="24"/>
        </w:rPr>
        <w:t>.</w:t>
      </w:r>
      <w:r w:rsidRPr="006058E1">
        <w:rPr>
          <w:rFonts w:hint="eastAsia"/>
          <w:bCs/>
          <w:sz w:val="24"/>
        </w:rPr>
        <w:t>相关法律法规以及监管部门有强制规定的，从其规定。如有新增事项，按国家最新规定估值。</w:t>
      </w:r>
    </w:p>
    <w:p w14:paraId="58B8C46B" w14:textId="33B66EAF" w:rsidR="001F0793" w:rsidRDefault="00E53946">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541F67" w14:textId="77777777" w:rsidR="001F0793" w:rsidRDefault="00E53946">
      <w:pPr>
        <w:adjustRightInd w:val="0"/>
        <w:snapToGrid w:val="0"/>
        <w:spacing w:line="360" w:lineRule="auto"/>
        <w:ind w:firstLine="480"/>
        <w:rPr>
          <w:rFonts w:ascii="宋体" w:hAnsi="宋体"/>
          <w:sz w:val="24"/>
          <w:szCs w:val="21"/>
        </w:rPr>
      </w:pPr>
      <w:r>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资产净值的计算结果对外予以公布。</w:t>
      </w:r>
    </w:p>
    <w:p w14:paraId="0D4586CA" w14:textId="458D74FA" w:rsidR="001F0793" w:rsidRDefault="00E53946">
      <w:pPr>
        <w:adjustRightInd w:val="0"/>
        <w:snapToGrid w:val="0"/>
        <w:spacing w:line="360" w:lineRule="auto"/>
        <w:ind w:firstLineChars="200" w:firstLine="480"/>
        <w:rPr>
          <w:rStyle w:val="read"/>
          <w:rFonts w:ascii="宋体" w:hAnsi="宋体"/>
          <w:sz w:val="24"/>
        </w:rPr>
      </w:pPr>
      <w:r>
        <w:rPr>
          <w:rStyle w:val="read"/>
          <w:rFonts w:ascii="宋体" w:hAnsi="宋体" w:cs="Arial" w:hint="eastAsia"/>
          <w:sz w:val="24"/>
        </w:rPr>
        <w:t>基金管理人、基金托管人按估值方法的</w:t>
      </w:r>
      <w:r w:rsidR="00984D18">
        <w:rPr>
          <w:rStyle w:val="read"/>
          <w:rFonts w:ascii="宋体" w:hAnsi="宋体" w:cs="Arial" w:hint="eastAsia"/>
          <w:sz w:val="24"/>
        </w:rPr>
        <w:t>第</w:t>
      </w:r>
      <w:r w:rsidR="006058E1">
        <w:rPr>
          <w:rStyle w:val="read"/>
          <w:rFonts w:ascii="宋体" w:hAnsi="宋体" w:cs="Arial"/>
          <w:sz w:val="24"/>
        </w:rPr>
        <w:t>12</w:t>
      </w:r>
      <w:r>
        <w:rPr>
          <w:rStyle w:val="read"/>
          <w:rFonts w:ascii="宋体" w:hAnsi="宋体" w:cs="Arial" w:hint="eastAsia"/>
          <w:sz w:val="24"/>
        </w:rPr>
        <w:t>项进行估值时，所造成的误差不作为基金份</w:t>
      </w:r>
      <w:r>
        <w:rPr>
          <w:rStyle w:val="read"/>
          <w:rFonts w:ascii="宋体" w:hAnsi="宋体" w:hint="eastAsia"/>
          <w:sz w:val="24"/>
        </w:rPr>
        <w:t>额净值错误处理。</w:t>
      </w:r>
    </w:p>
    <w:p w14:paraId="3F50BB17" w14:textId="77777777" w:rsidR="001F0793" w:rsidRDefault="00E53946">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（三）基金份额净值错误的处理方式</w:t>
      </w:r>
    </w:p>
    <w:p w14:paraId="172634AE" w14:textId="77777777" w:rsidR="001F0793" w:rsidRDefault="00E53946">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1.当任一类基金份额净值小数点后</w:t>
      </w:r>
      <w:r>
        <w:rPr>
          <w:rStyle w:val="read"/>
          <w:rFonts w:ascii="宋体" w:hAnsi="宋体"/>
          <w:sz w:val="24"/>
        </w:rPr>
        <w:t>4</w:t>
      </w:r>
      <w:r>
        <w:rPr>
          <w:rStyle w:val="read"/>
          <w:rFonts w:ascii="宋体" w:hAnsi="宋体" w:hint="eastAsia"/>
          <w:sz w:val="24"/>
        </w:rPr>
        <w:t>位以内(含第</w:t>
      </w:r>
      <w:r>
        <w:rPr>
          <w:rStyle w:val="read"/>
          <w:rFonts w:ascii="宋体" w:hAnsi="宋体"/>
          <w:sz w:val="24"/>
        </w:rPr>
        <w:t>4</w:t>
      </w:r>
      <w:r>
        <w:rPr>
          <w:rStyle w:val="read"/>
          <w:rFonts w:ascii="宋体" w:hAnsi="宋体" w:hint="eastAsia"/>
          <w:sz w:val="24"/>
        </w:rPr>
        <w:t>位)发生差错时，视为该类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Pr>
          <w:rFonts w:ascii="宋体" w:hAnsi="宋体" w:cs="Arial" w:hint="eastAsia"/>
          <w:sz w:val="24"/>
        </w:rPr>
        <w:t>；错误偏差达到该类基金份额净值的</w:t>
      </w:r>
      <w:r>
        <w:rPr>
          <w:rFonts w:ascii="宋体" w:hAnsi="宋体" w:hint="eastAsia"/>
          <w:sz w:val="24"/>
        </w:rPr>
        <w:t>0.5%时，基金管理人应当公告</w:t>
      </w:r>
      <w:r>
        <w:rPr>
          <w:rFonts w:ascii="宋体" w:hAnsi="宋体" w:cs="Arial" w:hint="eastAsia"/>
          <w:sz w:val="24"/>
        </w:rPr>
        <w:t>，并报中国证监会备案</w:t>
      </w:r>
      <w:r>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2FBFAA17" w14:textId="77777777" w:rsidR="001F0793" w:rsidRDefault="00E53946">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2.当基金份额净值计算差错给基金和基金份额持有人造成损失需要进行赔偿时，基金管理人和基金托管人根据实际情况界定双方承担的责任，经确认后按以下条款进行赔偿：</w:t>
      </w:r>
    </w:p>
    <w:p w14:paraId="66ECF4A4" w14:textId="77777777" w:rsidR="001F0793" w:rsidRDefault="00E53946">
      <w:pPr>
        <w:adjustRightInd w:val="0"/>
        <w:snapToGrid w:val="0"/>
        <w:spacing w:line="360" w:lineRule="auto"/>
        <w:ind w:firstLineChars="200" w:firstLine="480"/>
        <w:rPr>
          <w:rFonts w:ascii="宋体" w:hAnsi="宋体" w:cs="Arial"/>
          <w:sz w:val="24"/>
        </w:rPr>
      </w:pPr>
      <w:r>
        <w:rPr>
          <w:rStyle w:val="read"/>
          <w:rFonts w:ascii="宋体" w:hAnsi="宋体"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cs="Arial" w:hint="eastAsia"/>
          <w:sz w:val="24"/>
        </w:rPr>
        <w:t>损失，由基金管理人负责赔付。</w:t>
      </w:r>
    </w:p>
    <w:p w14:paraId="2B7231F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w:t>
      </w:r>
      <w:proofErr w:type="gramStart"/>
      <w:r>
        <w:rPr>
          <w:rFonts w:ascii="宋体" w:hAnsi="宋体" w:hint="eastAsia"/>
          <w:kern w:val="0"/>
          <w:sz w:val="24"/>
        </w:rPr>
        <w:t>若基金</w:t>
      </w:r>
      <w:proofErr w:type="gramEnd"/>
      <w:r>
        <w:rPr>
          <w:rFonts w:ascii="宋体" w:hAnsi="宋体" w:hint="eastAsia"/>
          <w:kern w:val="0"/>
          <w:sz w:val="24"/>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6F28F6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(3)如基金管理人和基金托管人对</w:t>
      </w:r>
      <w:r>
        <w:rPr>
          <w:rFonts w:ascii="宋体" w:hAnsi="宋体" w:hint="eastAsia"/>
          <w:kern w:val="0"/>
          <w:sz w:val="24"/>
        </w:rPr>
        <w:t>各类</w:t>
      </w:r>
      <w:r>
        <w:rPr>
          <w:rFonts w:ascii="宋体" w:hAnsi="宋体" w:cs="Arial" w:hint="eastAsia"/>
          <w:sz w:val="24"/>
        </w:rPr>
        <w:t>基金份额净值的计算结果，虽然多次重新计算和核对，尚不能达成一致时，为避免不能按时公布</w:t>
      </w:r>
      <w:r>
        <w:rPr>
          <w:rFonts w:ascii="宋体" w:hAnsi="宋体" w:hint="eastAsia"/>
          <w:kern w:val="0"/>
          <w:sz w:val="24"/>
        </w:rPr>
        <w:t>各类</w:t>
      </w:r>
      <w:r>
        <w:rPr>
          <w:rFonts w:ascii="宋体" w:hAnsi="宋体" w:cs="Arial" w:hint="eastAsia"/>
          <w:sz w:val="24"/>
        </w:rPr>
        <w:t>基金份额净值的情形，以基金管理人的计算结果对外公布，由此给基金份额持有人和基金造成的损失，由基金管理人负责赔付。</w:t>
      </w:r>
    </w:p>
    <w:p w14:paraId="3274BD6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39422B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由于证券交易所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503B23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4.基金管理人和基金托管人由于各自技术系统设置而产生的净值计算尾差，以基金管理人计算结果为准。</w:t>
      </w:r>
    </w:p>
    <w:p w14:paraId="19D8167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11E26EBB"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（四）暂停估值与公告基金份额净值的情形</w:t>
      </w:r>
    </w:p>
    <w:p w14:paraId="36BEC8D0"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1.基金投资所涉及的证券交易市场遇法定节假日或因其他原因暂停营业时；</w:t>
      </w:r>
    </w:p>
    <w:p w14:paraId="502A94F9"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2.因不可抗力致使基金管理人、基金托管人无法准确评估基金资产价值时；</w:t>
      </w:r>
    </w:p>
    <w:p w14:paraId="0CA20441" w14:textId="15D2D0EB"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3.经与基金托管人协商确认，</w:t>
      </w:r>
      <w:r w:rsidR="00ED7AE2" w:rsidRPr="00ED7AE2">
        <w:rPr>
          <w:rFonts w:ascii="宋体" w:hAnsi="宋体" w:cs="Arial" w:hint="eastAsia"/>
          <w:sz w:val="24"/>
        </w:rPr>
        <w:t>当前一估值日基金资产净值50%以上的资产出现无可参</w:t>
      </w:r>
      <w:r w:rsidR="00ED7AE2">
        <w:rPr>
          <w:rFonts w:ascii="宋体" w:hAnsi="宋体" w:cs="Arial" w:hint="eastAsia"/>
          <w:sz w:val="24"/>
        </w:rPr>
        <w:t>考的活跃市场价格且采用估值技术</w:t>
      </w:r>
      <w:proofErr w:type="gramStart"/>
      <w:r w:rsidR="00ED7AE2">
        <w:rPr>
          <w:rFonts w:ascii="宋体" w:hAnsi="宋体" w:cs="Arial" w:hint="eastAsia"/>
          <w:sz w:val="24"/>
        </w:rPr>
        <w:t>仍导致</w:t>
      </w:r>
      <w:proofErr w:type="gramEnd"/>
      <w:r w:rsidR="00ED7AE2">
        <w:rPr>
          <w:rFonts w:ascii="宋体" w:hAnsi="宋体" w:cs="Arial" w:hint="eastAsia"/>
          <w:sz w:val="24"/>
        </w:rPr>
        <w:t>公允价值存在重大不确定性时</w:t>
      </w:r>
      <w:r>
        <w:rPr>
          <w:rFonts w:ascii="宋体" w:hAnsi="宋体" w:cs="Arial" w:hint="eastAsia"/>
          <w:sz w:val="24"/>
        </w:rPr>
        <w:t>，基金管理人应当暂停基金估值；</w:t>
      </w:r>
    </w:p>
    <w:p w14:paraId="3E89E564"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lastRenderedPageBreak/>
        <w:t>4.中国证监会和《基金合同》认定的其他情形。</w:t>
      </w:r>
    </w:p>
    <w:p w14:paraId="4B31F482"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（五）实施</w:t>
      </w:r>
      <w:proofErr w:type="gramStart"/>
      <w:r>
        <w:rPr>
          <w:rFonts w:ascii="宋体" w:hAnsi="宋体" w:cs="Arial" w:hint="eastAsia"/>
          <w:sz w:val="24"/>
        </w:rPr>
        <w:t>侧袋机制</w:t>
      </w:r>
      <w:proofErr w:type="gramEnd"/>
      <w:r>
        <w:rPr>
          <w:rFonts w:ascii="宋体" w:hAnsi="宋体" w:cs="Arial" w:hint="eastAsia"/>
          <w:sz w:val="24"/>
        </w:rPr>
        <w:t>期间的基金资产估值</w:t>
      </w:r>
    </w:p>
    <w:p w14:paraId="567E0E7E"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的，应根据本部分的约定</w:t>
      </w:r>
      <w:proofErr w:type="gramStart"/>
      <w:r>
        <w:rPr>
          <w:rFonts w:ascii="宋体" w:hAnsi="宋体" w:cs="Arial" w:hint="eastAsia"/>
          <w:sz w:val="24"/>
        </w:rPr>
        <w:t>对主袋账户</w:t>
      </w:r>
      <w:proofErr w:type="gramEnd"/>
      <w:r>
        <w:rPr>
          <w:rFonts w:ascii="宋体" w:hAnsi="宋体" w:cs="Arial" w:hint="eastAsia"/>
          <w:sz w:val="24"/>
        </w:rPr>
        <w:t>资产进行估值并</w:t>
      </w:r>
      <w:proofErr w:type="gramStart"/>
      <w:r>
        <w:rPr>
          <w:rFonts w:ascii="宋体" w:hAnsi="宋体" w:cs="Arial" w:hint="eastAsia"/>
          <w:sz w:val="24"/>
        </w:rPr>
        <w:t>披露主袋账户</w:t>
      </w:r>
      <w:proofErr w:type="gramEnd"/>
      <w:r>
        <w:rPr>
          <w:rFonts w:ascii="宋体" w:hAnsi="宋体" w:cs="Arial" w:hint="eastAsia"/>
          <w:sz w:val="24"/>
        </w:rPr>
        <w:t>的基金净值信息，暂停</w:t>
      </w:r>
      <w:proofErr w:type="gramStart"/>
      <w:r>
        <w:rPr>
          <w:rFonts w:ascii="宋体" w:hAnsi="宋体" w:cs="Arial" w:hint="eastAsia"/>
          <w:sz w:val="24"/>
        </w:rPr>
        <w:t>披露侧袋账户</w:t>
      </w:r>
      <w:proofErr w:type="gramEnd"/>
      <w:r>
        <w:rPr>
          <w:rFonts w:ascii="宋体" w:hAnsi="宋体" w:cs="Arial" w:hint="eastAsia"/>
          <w:sz w:val="24"/>
        </w:rPr>
        <w:t>份额净值。</w:t>
      </w:r>
    </w:p>
    <w:p w14:paraId="3CFEEDDC" w14:textId="4DD0747D"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（六）基金会计制度</w:t>
      </w:r>
    </w:p>
    <w:p w14:paraId="1AF7F4F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按国家有关部门规定的会计制度执行。</w:t>
      </w:r>
    </w:p>
    <w:p w14:paraId="357CFAED" w14:textId="5111BCC5"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（七）基金账册的建立</w:t>
      </w:r>
    </w:p>
    <w:p w14:paraId="16B3181D" w14:textId="53A5930C"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基金管理人进行基金会计核算并编制基金财务会计报告。基金管理人独立地设置、记录和保管本基金的全套账册。</w:t>
      </w:r>
      <w:proofErr w:type="gramStart"/>
      <w:r>
        <w:rPr>
          <w:rFonts w:ascii="宋体" w:hAnsi="宋体" w:cs="Arial" w:hint="eastAsia"/>
          <w:sz w:val="24"/>
        </w:rPr>
        <w:t>若基金</w:t>
      </w:r>
      <w:proofErr w:type="gramEnd"/>
      <w:r>
        <w:rPr>
          <w:rFonts w:ascii="宋体" w:hAnsi="宋体" w:cs="Arial" w:hint="eastAsia"/>
          <w:sz w:val="24"/>
        </w:rPr>
        <w:t>管理人和基金托管人对会计处理方法存在分歧，应以基金管理人的处理方法为准。若当日核对不符，暂时无法查找到错账的原因而影响到基金</w:t>
      </w:r>
      <w:r w:rsidR="00ED7AE2">
        <w:rPr>
          <w:rFonts w:ascii="宋体" w:hAnsi="宋体" w:cs="Arial" w:hint="eastAsia"/>
          <w:sz w:val="24"/>
        </w:rPr>
        <w:t>资产</w:t>
      </w:r>
      <w:r>
        <w:rPr>
          <w:rFonts w:ascii="宋体" w:hAnsi="宋体" w:cs="Arial" w:hint="eastAsia"/>
          <w:sz w:val="24"/>
        </w:rPr>
        <w:t>净值的计算和公告的，以基金管理人的账册为准。</w:t>
      </w:r>
    </w:p>
    <w:p w14:paraId="6FB0C4FB" w14:textId="3083B7D8"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（八）基金财务报表与报告的编制和复核</w:t>
      </w:r>
    </w:p>
    <w:p w14:paraId="6B81D71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1.财务报表的编制</w:t>
      </w:r>
    </w:p>
    <w:p w14:paraId="6F250AE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基金财务报表由基金管理人编制，基金托管人复核。</w:t>
      </w:r>
    </w:p>
    <w:p w14:paraId="7B1F5A3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2.报表复核</w:t>
      </w:r>
    </w:p>
    <w:p w14:paraId="7CD5C3C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2FC49F9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3.财务报表的编制与复核时间安排</w:t>
      </w:r>
    </w:p>
    <w:p w14:paraId="252BCFF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(1)报表的编制</w:t>
      </w:r>
    </w:p>
    <w:p w14:paraId="1CD5AAE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证券法》规定的会计师事务所审计。《基金合同》生效不足两个月的，基金管理人可以不编制当期季度报告、中期报告或者年度报告。</w:t>
      </w:r>
    </w:p>
    <w:p w14:paraId="4C09D235" w14:textId="77777777" w:rsidR="001F0793" w:rsidRDefault="00E53946">
      <w:pPr>
        <w:pStyle w:val="a0"/>
        <w:adjustRightInd w:val="0"/>
        <w:snapToGrid w:val="0"/>
        <w:spacing w:line="360" w:lineRule="auto"/>
        <w:ind w:firstLine="480"/>
        <w:rPr>
          <w:rFonts w:ascii="宋体" w:hAnsi="宋体" w:cs="Arial"/>
          <w:sz w:val="24"/>
        </w:rPr>
      </w:pPr>
      <w:r>
        <w:rPr>
          <w:rFonts w:ascii="宋体" w:hAnsi="宋体" w:cs="Arial" w:hint="eastAsia"/>
          <w:sz w:val="24"/>
        </w:rPr>
        <w:t>(2)报表的复核</w:t>
      </w:r>
    </w:p>
    <w:p w14:paraId="2FD20BE1" w14:textId="77777777" w:rsidR="001F0793" w:rsidRDefault="00E53946">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81E7B4D" w14:textId="77777777" w:rsidR="001F0793" w:rsidRDefault="00E53946">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基金管理人应留足充分的时间，便于基金托管人复核相关报表及报告。如果基</w:t>
      </w:r>
      <w:r>
        <w:rPr>
          <w:rFonts w:ascii="宋体" w:hAnsi="宋体" w:cs="Arial" w:hint="eastAsia"/>
          <w:sz w:val="24"/>
        </w:rPr>
        <w:lastRenderedPageBreak/>
        <w:t>金管理人与基金托管人不能</w:t>
      </w:r>
      <w:proofErr w:type="gramStart"/>
      <w:r>
        <w:rPr>
          <w:rFonts w:ascii="宋体" w:hAnsi="宋体" w:cs="Arial" w:hint="eastAsia"/>
          <w:sz w:val="24"/>
        </w:rPr>
        <w:t>于应当</w:t>
      </w:r>
      <w:proofErr w:type="gramEnd"/>
      <w:r>
        <w:rPr>
          <w:rFonts w:ascii="宋体" w:hAnsi="宋体" w:cs="Arial" w:hint="eastAsia"/>
          <w:sz w:val="24"/>
        </w:rPr>
        <w:t>发布公告之日之前就相关报表达成一致，基金管理人按照其编制的报表对外发布公告，基金托管人有权就相关情况报中国证监会备案。</w:t>
      </w:r>
    </w:p>
    <w:p w14:paraId="346CF42B" w14:textId="4830B0FC" w:rsidR="001F0793" w:rsidRDefault="00E53946">
      <w:pPr>
        <w:pStyle w:val="a0"/>
        <w:adjustRightInd w:val="0"/>
        <w:snapToGrid w:val="0"/>
        <w:spacing w:line="360" w:lineRule="auto"/>
        <w:ind w:firstLine="480"/>
        <w:rPr>
          <w:rFonts w:ascii="宋体" w:hAnsi="宋体" w:cs="Arial"/>
          <w:sz w:val="24"/>
        </w:rPr>
      </w:pPr>
      <w:r>
        <w:rPr>
          <w:rFonts w:ascii="宋体" w:hAnsi="宋体" w:cs="Arial" w:hint="eastAsia"/>
          <w:sz w:val="24"/>
        </w:rPr>
        <w:t>（九）基金管理人应在编制季度报告、中期报告或者年度报告之前及时向基金托管人提供基金业绩比较基准的基础数据和编制结果。</w:t>
      </w:r>
    </w:p>
    <w:p w14:paraId="52DFDC21" w14:textId="77777777" w:rsidR="001F0793" w:rsidRDefault="001F0793">
      <w:pPr>
        <w:pStyle w:val="a0"/>
        <w:adjustRightInd w:val="0"/>
        <w:snapToGrid w:val="0"/>
        <w:spacing w:line="360" w:lineRule="auto"/>
        <w:ind w:firstLineChars="0" w:firstLine="0"/>
        <w:rPr>
          <w:rFonts w:ascii="宋体" w:hAnsi="宋体" w:cs="Arial"/>
          <w:sz w:val="24"/>
        </w:rPr>
      </w:pPr>
    </w:p>
    <w:p w14:paraId="710CB4E7" w14:textId="77777777" w:rsidR="001F0793" w:rsidRDefault="00E53946">
      <w:pPr>
        <w:pStyle w:val="2"/>
        <w:spacing w:line="360" w:lineRule="auto"/>
        <w:jc w:val="center"/>
        <w:rPr>
          <w:rFonts w:ascii="宋体" w:eastAsia="宋体" w:hAnsi="宋体"/>
          <w:sz w:val="30"/>
        </w:rPr>
      </w:pPr>
      <w:bookmarkStart w:id="96" w:name="_Toc124325893"/>
      <w:r>
        <w:rPr>
          <w:rFonts w:ascii="宋体" w:eastAsia="宋体" w:hAnsi="宋体" w:hint="eastAsia"/>
          <w:sz w:val="30"/>
        </w:rPr>
        <w:t>九、基金收益分配</w:t>
      </w:r>
      <w:bookmarkEnd w:id="96"/>
    </w:p>
    <w:p w14:paraId="0F84F6B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基金收益分配是指按规定将基金的可分配收益按基金份额进行比例分配。</w:t>
      </w:r>
    </w:p>
    <w:p w14:paraId="7AFA44AA"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（一）基金收益分配的原则</w:t>
      </w:r>
    </w:p>
    <w:p w14:paraId="6E291AB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基金收益分配应遵循下列原则：</w:t>
      </w:r>
    </w:p>
    <w:p w14:paraId="39F2496D" w14:textId="1C48E4F5"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0054440A">
        <w:rPr>
          <w:rFonts w:ascii="宋体" w:hAnsi="宋体" w:cs="Arial" w:hint="eastAsia"/>
          <w:sz w:val="24"/>
        </w:rPr>
        <w:t>.</w:t>
      </w:r>
      <w:r>
        <w:rPr>
          <w:rFonts w:ascii="宋体" w:hAnsi="宋体" w:cs="Arial" w:hint="eastAsia"/>
          <w:sz w:val="24"/>
        </w:rPr>
        <w:t>在符合有关基金分红条件的前提下，基金管理人可以根据实际情况进行收益分配，具体分配方案以公告为准。若《基金合同》生效不满3个月可不进行收益分配；</w:t>
      </w:r>
    </w:p>
    <w:p w14:paraId="1EF7B2F1" w14:textId="4F497FD1"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0054440A">
        <w:rPr>
          <w:rFonts w:ascii="宋体" w:hAnsi="宋体" w:cs="Arial" w:hint="eastAsia"/>
          <w:sz w:val="24"/>
        </w:rPr>
        <w:t>.</w:t>
      </w:r>
      <w:r>
        <w:rPr>
          <w:rFonts w:ascii="宋体" w:hAnsi="宋体" w:cs="Arial"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1F9880F3" w14:textId="6952A789"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0054440A">
        <w:rPr>
          <w:rFonts w:ascii="宋体" w:hAnsi="宋体" w:cs="Arial" w:hint="eastAsia"/>
          <w:sz w:val="24"/>
        </w:rPr>
        <w:t>.</w:t>
      </w:r>
      <w:r>
        <w:rPr>
          <w:rFonts w:ascii="宋体" w:hAnsi="宋体" w:cs="Arial" w:hint="eastAsia"/>
          <w:sz w:val="24"/>
        </w:rPr>
        <w:t>基金收益分配后各类基金份额净值不能低于面值；即基金收益分配基准日的各类基金份额净值减去每单位该类基金份额收益分配金额后不能低于面值；</w:t>
      </w:r>
    </w:p>
    <w:p w14:paraId="3897A300" w14:textId="57CC2FED"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0054440A">
        <w:rPr>
          <w:rFonts w:ascii="宋体" w:hAnsi="宋体" w:cs="Arial" w:hint="eastAsia"/>
          <w:sz w:val="24"/>
        </w:rPr>
        <w:t>.</w:t>
      </w:r>
      <w:r>
        <w:rPr>
          <w:rFonts w:ascii="宋体" w:hAnsi="宋体" w:cs="Arial" w:hint="eastAsia"/>
          <w:sz w:val="24"/>
        </w:rPr>
        <w:t>由于本基金A类基金份额不收取销售服务费，而C类基金份额收取销售服务费，不同类别基金份额对应的可供分配收益将有所不同，基金管理人可对各类别基金份额分别制定收益分配方案。本基金同一类别的每一基金份额享有同等分配权；</w:t>
      </w:r>
    </w:p>
    <w:p w14:paraId="2C54FDBC" w14:textId="2CEC704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54440A">
        <w:rPr>
          <w:rFonts w:ascii="宋体" w:hAnsi="宋体" w:cs="Arial" w:hint="eastAsia"/>
          <w:sz w:val="24"/>
        </w:rPr>
        <w:t>.</w:t>
      </w:r>
      <w:r>
        <w:rPr>
          <w:rFonts w:ascii="宋体" w:hAnsi="宋体" w:cs="Arial" w:hint="eastAsia"/>
          <w:sz w:val="24"/>
        </w:rPr>
        <w:t>法律法规或监管机关另有规定的，从其规定。</w:t>
      </w:r>
    </w:p>
    <w:p w14:paraId="4BBFCAE8" w14:textId="550C403C"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在符合法律法规及基金合同约定，并对基金份额持有人利益无实质性不利影响的前提下，经与基金托管人协商一致并履行适当程序后，基金管理人可对基金收益分配原则和支付方式进行调整。</w:t>
      </w:r>
    </w:p>
    <w:p w14:paraId="17D7F5DC"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（二）基金收益分配的时间和程序</w:t>
      </w:r>
    </w:p>
    <w:p w14:paraId="52FFA8A6"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本基金收益分配方案由基金管理人拟订，并由基金托管人复核，并依照《信息</w:t>
      </w:r>
      <w:r>
        <w:rPr>
          <w:rFonts w:ascii="宋体" w:hAnsi="宋体" w:cs="Arial" w:hint="eastAsia"/>
          <w:sz w:val="24"/>
        </w:rPr>
        <w:lastRenderedPageBreak/>
        <w:t>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34F5DD32"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5733886D"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（三）实施</w:t>
      </w:r>
      <w:proofErr w:type="gramStart"/>
      <w:r>
        <w:rPr>
          <w:rFonts w:ascii="宋体" w:hAnsi="宋体" w:cs="Arial" w:hint="eastAsia"/>
          <w:sz w:val="24"/>
        </w:rPr>
        <w:t>侧袋机制</w:t>
      </w:r>
      <w:proofErr w:type="gramEnd"/>
      <w:r>
        <w:rPr>
          <w:rFonts w:ascii="宋体" w:hAnsi="宋体" w:cs="Arial" w:hint="eastAsia"/>
          <w:sz w:val="24"/>
        </w:rPr>
        <w:t>期间的收益分配</w:t>
      </w:r>
    </w:p>
    <w:p w14:paraId="6F059F74"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侧袋账户</w:t>
      </w:r>
      <w:proofErr w:type="gramEnd"/>
      <w:r>
        <w:rPr>
          <w:rFonts w:ascii="宋体" w:hAnsi="宋体" w:cs="Arial" w:hint="eastAsia"/>
          <w:sz w:val="24"/>
        </w:rPr>
        <w:t>不进行收益分配，详见招募说明书的规定。</w:t>
      </w:r>
    </w:p>
    <w:p w14:paraId="45C30785" w14:textId="77777777" w:rsidR="001F0793" w:rsidRDefault="001F0793">
      <w:pPr>
        <w:adjustRightInd w:val="0"/>
        <w:snapToGrid w:val="0"/>
        <w:spacing w:line="360" w:lineRule="auto"/>
        <w:rPr>
          <w:rFonts w:ascii="宋体" w:hAnsi="宋体" w:cs="Arial"/>
          <w:sz w:val="24"/>
        </w:rPr>
      </w:pPr>
    </w:p>
    <w:p w14:paraId="6604662F" w14:textId="77777777" w:rsidR="001F0793" w:rsidRDefault="00E53946">
      <w:pPr>
        <w:pStyle w:val="2"/>
        <w:spacing w:line="360" w:lineRule="auto"/>
        <w:jc w:val="center"/>
        <w:rPr>
          <w:rFonts w:ascii="宋体" w:eastAsia="宋体" w:hAnsi="宋体"/>
          <w:sz w:val="30"/>
        </w:rPr>
      </w:pPr>
      <w:bookmarkStart w:id="97" w:name="_Toc124325894"/>
      <w:r>
        <w:rPr>
          <w:rFonts w:ascii="宋体" w:eastAsia="宋体" w:hAnsi="宋体" w:hint="eastAsia"/>
          <w:sz w:val="30"/>
        </w:rPr>
        <w:t>十、基金信息披露</w:t>
      </w:r>
      <w:bookmarkEnd w:id="97"/>
    </w:p>
    <w:p w14:paraId="51D1165B"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（一）保密义务</w:t>
      </w:r>
    </w:p>
    <w:p w14:paraId="5D536F8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4E9AEE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1.非因基金管理人和基金托管人的原因导致保密信息被披露、泄露或公开；</w:t>
      </w:r>
    </w:p>
    <w:p w14:paraId="73E6FA13" w14:textId="12071EBC"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r w:rsidR="00E17D3C">
        <w:rPr>
          <w:rFonts w:ascii="宋体" w:hAnsi="宋体" w:cs="Arial" w:hint="eastAsia"/>
          <w:sz w:val="24"/>
        </w:rPr>
        <w:t>；</w:t>
      </w:r>
    </w:p>
    <w:p w14:paraId="7F14B345" w14:textId="19B0B71B"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hint="eastAsia"/>
          <w:sz w:val="24"/>
        </w:rPr>
        <w:t>因审计、法律等专业服务向外部专业顾问提供信息。</w:t>
      </w:r>
    </w:p>
    <w:p w14:paraId="582E4E62"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（二）信息披露的内容</w:t>
      </w:r>
    </w:p>
    <w:p w14:paraId="0381EA3C" w14:textId="54B7C967" w:rsidR="001F0793" w:rsidRDefault="00D5398D">
      <w:pPr>
        <w:spacing w:line="360" w:lineRule="auto"/>
        <w:ind w:firstLineChars="200" w:firstLine="480"/>
        <w:rPr>
          <w:rFonts w:ascii="宋体" w:hAnsi="宋体" w:cs="Arial"/>
          <w:sz w:val="24"/>
        </w:rPr>
      </w:pPr>
      <w:r w:rsidRPr="00D5398D">
        <w:rPr>
          <w:rFonts w:ascii="宋体"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基金份额持有人大会决议、清算报告、投资资产支持证券的信息披露、投资期货相关公告、投资股票期权相关公告、参与转融通证券出借业务的相关公告、清算报告、实施</w:t>
      </w:r>
      <w:proofErr w:type="gramStart"/>
      <w:r w:rsidRPr="00D5398D">
        <w:rPr>
          <w:rFonts w:ascii="宋体" w:hAnsi="宋体" w:cs="Arial" w:hint="eastAsia"/>
          <w:sz w:val="24"/>
        </w:rPr>
        <w:t>侧袋机制</w:t>
      </w:r>
      <w:proofErr w:type="gramEnd"/>
      <w:r w:rsidRPr="00D5398D">
        <w:rPr>
          <w:rFonts w:ascii="宋体" w:hAnsi="宋体" w:cs="Arial" w:hint="eastAsia"/>
          <w:sz w:val="24"/>
        </w:rPr>
        <w:t>期间的信息披露以</w:t>
      </w:r>
      <w:r w:rsidRPr="00D5398D">
        <w:rPr>
          <w:rFonts w:ascii="宋体" w:hAnsi="宋体" w:cs="Arial" w:hint="eastAsia"/>
          <w:sz w:val="24"/>
        </w:rPr>
        <w:lastRenderedPageBreak/>
        <w:t>及中国证监会规定的其他信息。基金年度报告中的财务会计报告需</w:t>
      </w:r>
      <w:proofErr w:type="gramStart"/>
      <w:r w:rsidRPr="00D5398D">
        <w:rPr>
          <w:rFonts w:ascii="宋体" w:hAnsi="宋体" w:cs="Arial" w:hint="eastAsia"/>
          <w:sz w:val="24"/>
        </w:rPr>
        <w:t>经符合</w:t>
      </w:r>
      <w:proofErr w:type="gramEnd"/>
      <w:r w:rsidRPr="00D5398D">
        <w:rPr>
          <w:rFonts w:ascii="宋体" w:hAnsi="宋体" w:cs="Arial" w:hint="eastAsia"/>
          <w:sz w:val="24"/>
        </w:rPr>
        <w:t>《证券法》规定的会计师事务所审计后，方可披露。</w:t>
      </w:r>
    </w:p>
    <w:p w14:paraId="6AADF9DA"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（三）基金托管人和基金管理人在信息披露中的职责和信息披露程序</w:t>
      </w:r>
    </w:p>
    <w:p w14:paraId="2F56FE0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1.职责</w:t>
      </w:r>
    </w:p>
    <w:p w14:paraId="375B561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6026F2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对于不需要基金托管人复核的信息，基金管理人在公告前应告知基金托管人。</w:t>
      </w:r>
    </w:p>
    <w:p w14:paraId="666EC08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基金管理人和基金托管人应积极配合、互相监督，保证其履行按照法定方式和限时披露的义务。</w:t>
      </w:r>
    </w:p>
    <w:p w14:paraId="41DCA59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48C9E56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当出现下述情况时，基金管理人和基金托管人可暂停或延迟披露基金相关信息：</w:t>
      </w:r>
    </w:p>
    <w:p w14:paraId="04718B5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(1)不可抗力；</w:t>
      </w:r>
    </w:p>
    <w:p w14:paraId="12FA441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(2)基金投资所涉及的证券交易市场遇法定节假日或因其他原因暂停营业时；</w:t>
      </w:r>
    </w:p>
    <w:p w14:paraId="26122F5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(3)出现基金管理人认为属于会导致基金管理人不能出售或评估基金资产的紧急事故的任何情况；</w:t>
      </w:r>
    </w:p>
    <w:p w14:paraId="22B0184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(4)法律法规、《基金合同》或中国证监会规定的情况。</w:t>
      </w:r>
    </w:p>
    <w:p w14:paraId="589FD0D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2.程序</w:t>
      </w:r>
    </w:p>
    <w:p w14:paraId="061C277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122EC2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3.信息文本的存放</w:t>
      </w:r>
    </w:p>
    <w:p w14:paraId="33C9770B" w14:textId="77777777" w:rsidR="001F0793" w:rsidRDefault="00E53946" w:rsidP="000734C2">
      <w:pPr>
        <w:adjustRightInd w:val="0"/>
        <w:snapToGrid w:val="0"/>
        <w:spacing w:line="360" w:lineRule="auto"/>
        <w:ind w:firstLineChars="200" w:firstLine="480"/>
        <w:rPr>
          <w:rFonts w:ascii="宋体" w:hAnsi="宋体" w:cs="Arial"/>
          <w:sz w:val="24"/>
        </w:rPr>
      </w:pPr>
      <w:r>
        <w:rPr>
          <w:rFonts w:ascii="宋体" w:hAnsi="宋体" w:cs="Arial" w:hint="eastAsia"/>
          <w:sz w:val="24"/>
        </w:rPr>
        <w:t>依法必须披露的信息发布后，基金管理人、基金托管人应当按照相关法律法规规定将信息置备于公司住所，供社会公众查阅、复制。</w:t>
      </w:r>
    </w:p>
    <w:p w14:paraId="52E8BEA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（四）实施</w:t>
      </w:r>
      <w:proofErr w:type="gramStart"/>
      <w:r>
        <w:rPr>
          <w:rFonts w:ascii="宋体" w:hAnsi="宋体" w:cs="Arial" w:hint="eastAsia"/>
          <w:sz w:val="24"/>
        </w:rPr>
        <w:t>侧袋机制</w:t>
      </w:r>
      <w:proofErr w:type="gramEnd"/>
      <w:r>
        <w:rPr>
          <w:rFonts w:ascii="宋体" w:hAnsi="宋体" w:cs="Arial" w:hint="eastAsia"/>
          <w:sz w:val="24"/>
        </w:rPr>
        <w:t>期间的信息披露</w:t>
      </w:r>
    </w:p>
    <w:p w14:paraId="45E71A5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的，相关信息披露义务人应当根据法律法规、基金合同和</w:t>
      </w:r>
      <w:r>
        <w:rPr>
          <w:rFonts w:ascii="宋体" w:hAnsi="宋体" w:cs="Arial" w:hint="eastAsia"/>
          <w:sz w:val="24"/>
        </w:rPr>
        <w:lastRenderedPageBreak/>
        <w:t>招募说明书的规定进行信息披露，详见招募说明书的规定。</w:t>
      </w:r>
    </w:p>
    <w:p w14:paraId="4DE99182" w14:textId="77777777" w:rsidR="001F0793" w:rsidRDefault="00E53946">
      <w:pPr>
        <w:pStyle w:val="a0"/>
        <w:spacing w:line="360" w:lineRule="auto"/>
        <w:ind w:firstLine="480"/>
        <w:rPr>
          <w:rFonts w:ascii="宋体" w:hAnsi="宋体" w:cs="Arial"/>
          <w:sz w:val="24"/>
        </w:rPr>
      </w:pPr>
      <w:r>
        <w:rPr>
          <w:rFonts w:ascii="宋体" w:hAnsi="宋体" w:cs="Arial" w:hint="eastAsia"/>
          <w:sz w:val="24"/>
        </w:rPr>
        <w:t>（五）法律法规或监管部门对适用于本基金的信息披露另有规定的，从其规定。如规定发生变化的，从其最新规定。</w:t>
      </w:r>
    </w:p>
    <w:p w14:paraId="147FFA47" w14:textId="77777777" w:rsidR="001F0793" w:rsidRDefault="001F0793">
      <w:pPr>
        <w:pStyle w:val="a0"/>
        <w:spacing w:line="360" w:lineRule="auto"/>
        <w:ind w:firstLineChars="0" w:firstLine="0"/>
        <w:rPr>
          <w:rFonts w:ascii="宋体" w:hAnsi="宋体" w:cs="Arial"/>
          <w:sz w:val="24"/>
        </w:rPr>
      </w:pPr>
    </w:p>
    <w:p w14:paraId="0CB1254D" w14:textId="77777777" w:rsidR="001F0793" w:rsidRDefault="00E53946">
      <w:pPr>
        <w:pStyle w:val="2"/>
        <w:spacing w:line="360" w:lineRule="auto"/>
        <w:jc w:val="center"/>
        <w:rPr>
          <w:rFonts w:ascii="宋体" w:eastAsia="宋体" w:hAnsi="宋体"/>
          <w:sz w:val="30"/>
        </w:rPr>
      </w:pPr>
      <w:bookmarkStart w:id="98" w:name="_Toc124325895"/>
      <w:r>
        <w:rPr>
          <w:rFonts w:ascii="宋体" w:eastAsia="宋体" w:hAnsi="宋体" w:hint="eastAsia"/>
          <w:sz w:val="30"/>
        </w:rPr>
        <w:t>十一、基金费用</w:t>
      </w:r>
      <w:bookmarkEnd w:id="98"/>
    </w:p>
    <w:p w14:paraId="02F0B49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（一）基金管理费的计提比例和计提方法</w:t>
      </w:r>
    </w:p>
    <w:p w14:paraId="674CF8D8" w14:textId="29B6463E"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本基金的管理费按前一日基金资产净值的</w:t>
      </w:r>
      <w:r w:rsidR="006058E1">
        <w:rPr>
          <w:rFonts w:ascii="宋体" w:hAnsi="宋体" w:cs="Arial"/>
          <w:sz w:val="24"/>
        </w:rPr>
        <w:t>0.8</w:t>
      </w:r>
      <w:r>
        <w:rPr>
          <w:rFonts w:ascii="宋体" w:hAnsi="宋体" w:cs="Arial" w:hint="eastAsia"/>
          <w:sz w:val="24"/>
        </w:rPr>
        <w:t>0%年费率计提。管理费的计算方法如下：</w:t>
      </w:r>
    </w:p>
    <w:p w14:paraId="0EF35735" w14:textId="50B1797C"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H＝E×</w:t>
      </w:r>
      <w:r w:rsidR="006058E1">
        <w:rPr>
          <w:rFonts w:ascii="宋体" w:hAnsi="宋体" w:cs="Arial"/>
          <w:sz w:val="24"/>
        </w:rPr>
        <w:t>0.8</w:t>
      </w:r>
      <w:r>
        <w:rPr>
          <w:rFonts w:ascii="宋体" w:hAnsi="宋体" w:cs="Arial" w:hint="eastAsia"/>
          <w:sz w:val="24"/>
        </w:rPr>
        <w:t>0%÷当年天数</w:t>
      </w:r>
    </w:p>
    <w:p w14:paraId="2865437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H为每日应计提的基金管理费</w:t>
      </w:r>
    </w:p>
    <w:p w14:paraId="7FEBA3D0" w14:textId="48B077BE"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0DF85A7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（二）基金托管费的计提比例和计提方法</w:t>
      </w:r>
    </w:p>
    <w:p w14:paraId="0BB2B93C" w14:textId="438E7665"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本基金的托管费按前一日基金资产净值的0.</w:t>
      </w:r>
      <w:r w:rsidR="006058E1">
        <w:rPr>
          <w:rFonts w:ascii="宋体" w:hAnsi="宋体" w:cs="Arial"/>
          <w:sz w:val="24"/>
        </w:rPr>
        <w:t>1</w:t>
      </w:r>
      <w:r w:rsidR="006058E1">
        <w:rPr>
          <w:rFonts w:ascii="宋体" w:hAnsi="宋体" w:cs="Arial" w:hint="eastAsia"/>
          <w:sz w:val="24"/>
        </w:rPr>
        <w:t>0</w:t>
      </w:r>
      <w:r>
        <w:rPr>
          <w:rFonts w:ascii="宋体" w:hAnsi="宋体" w:cs="Arial" w:hint="eastAsia"/>
          <w:sz w:val="24"/>
        </w:rPr>
        <w:t>%的年费率计提。托管费的计算方法如下：</w:t>
      </w:r>
    </w:p>
    <w:p w14:paraId="6278E2E6" w14:textId="4B60CD31"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H＝E×0.</w:t>
      </w:r>
      <w:r w:rsidR="006058E1">
        <w:rPr>
          <w:rFonts w:ascii="宋体" w:hAnsi="宋体" w:cs="Arial"/>
          <w:sz w:val="24"/>
        </w:rPr>
        <w:t>1</w:t>
      </w:r>
      <w:r w:rsidR="006058E1">
        <w:rPr>
          <w:rFonts w:ascii="宋体" w:hAnsi="宋体" w:cs="Arial" w:hint="eastAsia"/>
          <w:sz w:val="24"/>
        </w:rPr>
        <w:t>0</w:t>
      </w:r>
      <w:r>
        <w:rPr>
          <w:rFonts w:ascii="宋体" w:hAnsi="宋体" w:cs="Arial" w:hint="eastAsia"/>
          <w:sz w:val="24"/>
        </w:rPr>
        <w:t>%÷当年天数</w:t>
      </w:r>
    </w:p>
    <w:p w14:paraId="52A582E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H为每日应计提的基金托管费</w:t>
      </w:r>
    </w:p>
    <w:p w14:paraId="5FFEC905" w14:textId="0FC83DCB"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4C729E35" w14:textId="18625AB7" w:rsidR="001F0793" w:rsidRDefault="000A441C">
      <w:pPr>
        <w:adjustRightInd w:val="0"/>
        <w:snapToGrid w:val="0"/>
        <w:spacing w:line="360" w:lineRule="auto"/>
        <w:ind w:firstLineChars="200" w:firstLine="480"/>
        <w:rPr>
          <w:rFonts w:ascii="宋体" w:hAnsi="宋体" w:cs="Arial"/>
          <w:sz w:val="24"/>
        </w:rPr>
      </w:pPr>
      <w:r w:rsidRPr="000A441C">
        <w:rPr>
          <w:rFonts w:ascii="宋体" w:hAnsi="宋体" w:cs="Arial" w:hint="eastAsia"/>
          <w:sz w:val="24"/>
        </w:rPr>
        <w:t>（</w:t>
      </w:r>
      <w:r w:rsidR="00E53946">
        <w:rPr>
          <w:rFonts w:ascii="宋体" w:hAnsi="宋体" w:cs="Arial" w:hint="eastAsia"/>
          <w:sz w:val="24"/>
        </w:rPr>
        <w:t>三）基金销售服务费</w:t>
      </w:r>
    </w:p>
    <w:p w14:paraId="642C257A" w14:textId="5BACBC19"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 A类基金份额不收取销售服务费，C类基金份额的销售服务费按前一日C类基金份额资产净值的0.</w:t>
      </w:r>
      <w:r w:rsidR="006058E1">
        <w:rPr>
          <w:rFonts w:ascii="宋体" w:hAnsi="宋体" w:cs="Arial"/>
          <w:sz w:val="24"/>
        </w:rPr>
        <w:t>3</w:t>
      </w:r>
      <w:r w:rsidR="006058E1">
        <w:rPr>
          <w:rFonts w:ascii="宋体" w:hAnsi="宋体" w:cs="Arial" w:hint="eastAsia"/>
          <w:sz w:val="24"/>
        </w:rPr>
        <w:t>0</w:t>
      </w:r>
      <w:r>
        <w:rPr>
          <w:rFonts w:ascii="宋体" w:hAnsi="宋体" w:cs="Arial" w:hint="eastAsia"/>
          <w:sz w:val="24"/>
        </w:rPr>
        <w:t>%年费率计提。计算方法如下：</w:t>
      </w:r>
    </w:p>
    <w:p w14:paraId="0CA6AB71" w14:textId="0CB8E91F"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H＝E×0.</w:t>
      </w:r>
      <w:r w:rsidR="006058E1">
        <w:rPr>
          <w:rFonts w:ascii="宋体" w:hAnsi="宋体" w:cs="Arial"/>
          <w:sz w:val="24"/>
        </w:rPr>
        <w:t>3</w:t>
      </w:r>
      <w:r w:rsidR="006058E1">
        <w:rPr>
          <w:rFonts w:ascii="宋体" w:hAnsi="宋体" w:cs="Arial" w:hint="eastAsia"/>
          <w:sz w:val="24"/>
        </w:rPr>
        <w:t>0</w:t>
      </w:r>
      <w:r>
        <w:rPr>
          <w:rFonts w:ascii="宋体" w:hAnsi="宋体" w:cs="Arial" w:hint="eastAsia"/>
          <w:sz w:val="24"/>
        </w:rPr>
        <w:t>%÷当年天数</w:t>
      </w:r>
    </w:p>
    <w:p w14:paraId="710BB3A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H为C类基金份额每日应计提的销售服务费</w:t>
      </w:r>
    </w:p>
    <w:p w14:paraId="6635658A" w14:textId="2A0D9273"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E为C类基金份额前一日基金资产净值</w:t>
      </w:r>
    </w:p>
    <w:p w14:paraId="2985397F" w14:textId="2CD3FC2A"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（四）证券账户开户费用、证券、期货、期权等交易费用、基金财产划拨支付的银行费用、账户开户费用和账户维护费用、《基金合同》生效后的信息披露费用</w:t>
      </w:r>
      <w:r w:rsidR="00ED7AE2" w:rsidRPr="00ED7AE2">
        <w:rPr>
          <w:rFonts w:ascii="宋体" w:hAnsi="宋体" w:cs="Arial" w:hint="eastAsia"/>
          <w:sz w:val="24"/>
        </w:rPr>
        <w:t>（但法律法规、中国证监会另有规定的除外）</w:t>
      </w:r>
      <w:r>
        <w:rPr>
          <w:rFonts w:ascii="宋体" w:hAnsi="宋体" w:cs="Arial" w:hint="eastAsia"/>
          <w:sz w:val="24"/>
        </w:rPr>
        <w:t>、基金份额持有人大会费用、《基金合同》生效后与基金有关的会计师费、律师费</w:t>
      </w:r>
      <w:r>
        <w:rPr>
          <w:rFonts w:asciiTheme="minorEastAsia" w:hAnsiTheme="minorEastAsia" w:cs="Arial" w:hint="eastAsia"/>
          <w:sz w:val="24"/>
        </w:rPr>
        <w:t>、诉讼费和仲裁费</w:t>
      </w:r>
      <w:r>
        <w:rPr>
          <w:rFonts w:ascii="宋体" w:hAnsi="宋体" w:cs="Arial" w:hint="eastAsia"/>
          <w:sz w:val="24"/>
        </w:rPr>
        <w:t>等根据有关法律法规、《基金合同》及相应协议的规定，列入当期基金费用。</w:t>
      </w:r>
    </w:p>
    <w:p w14:paraId="2D32029D"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lastRenderedPageBreak/>
        <w:t>（五）不列入基金费用的项目</w:t>
      </w:r>
    </w:p>
    <w:p w14:paraId="729B11E1" w14:textId="496640CE"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A1144E">
        <w:rPr>
          <w:rFonts w:ascii="宋体" w:hAnsi="宋体" w:cs="Arial" w:hint="eastAsia"/>
          <w:sz w:val="24"/>
        </w:rPr>
        <w:t>，</w:t>
      </w:r>
      <w:r w:rsidR="00A1144E" w:rsidRPr="00A1144E">
        <w:rPr>
          <w:rFonts w:ascii="宋体" w:hAnsi="宋体" w:cs="Arial" w:hint="eastAsia"/>
          <w:sz w:val="24"/>
        </w:rPr>
        <w:t>标的指数许可使用费</w:t>
      </w:r>
      <w:r>
        <w:rPr>
          <w:rFonts w:ascii="宋体" w:hAnsi="宋体" w:cs="Arial" w:hint="eastAsia"/>
          <w:sz w:val="24"/>
        </w:rPr>
        <w:t>以及其他根据相关法律法规及中国证监会的有关规定不得列入基金费用的项目等不列入基金费用。</w:t>
      </w:r>
    </w:p>
    <w:p w14:paraId="4209E491"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（六）基金管理费、基金托管费和销售服务费的调整</w:t>
      </w:r>
    </w:p>
    <w:p w14:paraId="10926406"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基金管理人和基金托管人经履行适当程序后可协商酌情降低基金管理费、基金托管费、销售服务费。基金管理人须按相关规定公告。</w:t>
      </w:r>
    </w:p>
    <w:p w14:paraId="5B13E962"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（七）基金管理费、基金托管费、销售服务费的复核程序、支付方式和时间</w:t>
      </w:r>
    </w:p>
    <w:p w14:paraId="25ED3F1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1.复核程序</w:t>
      </w:r>
    </w:p>
    <w:p w14:paraId="19999A0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基金托管人对基金管理人计提的基金管理费、基金托管费、销售服务费等，根据本托管协议和《基金合同》的有关规定进行复核。</w:t>
      </w:r>
    </w:p>
    <w:p w14:paraId="34B6445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2.支付方式和时间</w:t>
      </w:r>
    </w:p>
    <w:p w14:paraId="4F67F8D2" w14:textId="673B7C81" w:rsidR="001F0793" w:rsidRDefault="00774793">
      <w:pPr>
        <w:adjustRightInd w:val="0"/>
        <w:snapToGrid w:val="0"/>
        <w:spacing w:line="360" w:lineRule="auto"/>
        <w:ind w:firstLineChars="200" w:firstLine="480"/>
        <w:rPr>
          <w:rFonts w:ascii="宋体" w:hAnsi="宋体" w:cs="Arial"/>
          <w:sz w:val="24"/>
        </w:rPr>
      </w:pPr>
      <w:r w:rsidRPr="00774793">
        <w:rPr>
          <w:rFonts w:ascii="宋体" w:hAnsi="宋体" w:cs="Arial" w:hint="eastAsia"/>
          <w:sz w:val="24"/>
        </w:rPr>
        <w:t>基金管理费、基金托管费、销售服务费每日计提，逐日累计至每月月末，按月支付。由基金托管人根据与基金管理人核对一致的财务数据，按照与基金管理人协商一致的方式在月初5</w:t>
      </w:r>
      <w:proofErr w:type="gramStart"/>
      <w:r w:rsidRPr="00774793">
        <w:rPr>
          <w:rFonts w:ascii="宋体" w:hAnsi="宋体" w:cs="Arial" w:hint="eastAsia"/>
          <w:sz w:val="24"/>
        </w:rPr>
        <w:t>个</w:t>
      </w:r>
      <w:proofErr w:type="gramEnd"/>
      <w:r w:rsidRPr="00774793">
        <w:rPr>
          <w:rFonts w:ascii="宋体" w:hAnsi="宋体" w:cs="Arial" w:hint="eastAsia"/>
          <w:sz w:val="24"/>
        </w:rPr>
        <w:t>工作日内、按照指定的账户路径进行资金支付。若遇法定节假日、休息日等，支付日期顺延。</w:t>
      </w:r>
    </w:p>
    <w:p w14:paraId="7E6C039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在首期支付基金管理费、销售服务费前，基金管理人应向托管人出具正式函件指定基金管理费、销售服务费的收款账户。基金管理人如需要</w:t>
      </w:r>
      <w:proofErr w:type="gramStart"/>
      <w:r>
        <w:rPr>
          <w:rFonts w:ascii="宋体" w:hAnsi="宋体" w:cs="Arial" w:hint="eastAsia"/>
          <w:sz w:val="24"/>
        </w:rPr>
        <w:t>变更此</w:t>
      </w:r>
      <w:proofErr w:type="gramEnd"/>
      <w:r>
        <w:rPr>
          <w:rFonts w:ascii="宋体" w:hAnsi="宋体" w:cs="Arial" w:hint="eastAsia"/>
          <w:sz w:val="24"/>
        </w:rPr>
        <w:t>账户，应提前5个工作日向托管人出具书面的收款账户变更通知。</w:t>
      </w:r>
    </w:p>
    <w:p w14:paraId="10D1D09C" w14:textId="0E9E21A5"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（八）违规处理方式</w:t>
      </w:r>
    </w:p>
    <w:p w14:paraId="5C3C98C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BBD2B23" w14:textId="637D659F"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（九）实施</w:t>
      </w:r>
      <w:proofErr w:type="gramStart"/>
      <w:r>
        <w:rPr>
          <w:rFonts w:ascii="宋体" w:hAnsi="宋体" w:cs="Arial" w:hint="eastAsia"/>
          <w:sz w:val="24"/>
        </w:rPr>
        <w:t>侧袋机制</w:t>
      </w:r>
      <w:proofErr w:type="gramEnd"/>
      <w:r>
        <w:rPr>
          <w:rFonts w:ascii="宋体" w:hAnsi="宋体" w:cs="Arial" w:hint="eastAsia"/>
          <w:sz w:val="24"/>
        </w:rPr>
        <w:t>期间的基金费用</w:t>
      </w:r>
    </w:p>
    <w:p w14:paraId="432C9D5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与侧袋账户</w:t>
      </w:r>
      <w:proofErr w:type="gramEnd"/>
      <w:r>
        <w:rPr>
          <w:rFonts w:ascii="宋体" w:hAnsi="宋体" w:cs="Arial" w:hint="eastAsia"/>
          <w:sz w:val="24"/>
        </w:rPr>
        <w:t>有关的费用可以</w:t>
      </w:r>
      <w:proofErr w:type="gramStart"/>
      <w:r>
        <w:rPr>
          <w:rFonts w:ascii="宋体" w:hAnsi="宋体" w:cs="Arial" w:hint="eastAsia"/>
          <w:sz w:val="24"/>
        </w:rPr>
        <w:t>从侧袋账户</w:t>
      </w:r>
      <w:proofErr w:type="gramEnd"/>
      <w:r>
        <w:rPr>
          <w:rFonts w:ascii="宋体" w:hAnsi="宋体" w:cs="Arial" w:hint="eastAsia"/>
          <w:sz w:val="24"/>
        </w:rPr>
        <w:t>中列支，但应</w:t>
      </w:r>
      <w:proofErr w:type="gramStart"/>
      <w:r>
        <w:rPr>
          <w:rFonts w:ascii="宋体" w:hAnsi="宋体" w:cs="Arial" w:hint="eastAsia"/>
          <w:sz w:val="24"/>
        </w:rPr>
        <w:t>待侧袋</w:t>
      </w:r>
      <w:proofErr w:type="gramEnd"/>
      <w:r>
        <w:rPr>
          <w:rFonts w:ascii="宋体" w:hAnsi="宋体" w:cs="Arial" w:hint="eastAsia"/>
          <w:sz w:val="24"/>
        </w:rPr>
        <w:t>账户资产变现后方可列支，有关费用可酌情收取或减免，但不得收取管理费，详见招募说明书的规定。</w:t>
      </w:r>
    </w:p>
    <w:p w14:paraId="219C8186" w14:textId="77777777" w:rsidR="001F0793" w:rsidRDefault="001F0793">
      <w:pPr>
        <w:adjustRightInd w:val="0"/>
        <w:snapToGrid w:val="0"/>
        <w:spacing w:line="360" w:lineRule="auto"/>
        <w:rPr>
          <w:rFonts w:ascii="宋体" w:hAnsi="宋体" w:cs="Arial"/>
          <w:sz w:val="24"/>
        </w:rPr>
      </w:pPr>
    </w:p>
    <w:p w14:paraId="0C21BBA3" w14:textId="77777777" w:rsidR="001F0793" w:rsidRDefault="00E53946">
      <w:pPr>
        <w:pStyle w:val="2"/>
        <w:spacing w:line="360" w:lineRule="auto"/>
        <w:jc w:val="center"/>
        <w:rPr>
          <w:rFonts w:ascii="宋体" w:eastAsia="宋体" w:hAnsi="宋体"/>
          <w:sz w:val="30"/>
        </w:rPr>
      </w:pPr>
      <w:bookmarkStart w:id="99" w:name="_Toc124325896"/>
      <w:r>
        <w:rPr>
          <w:rFonts w:ascii="宋体" w:eastAsia="宋体" w:hAnsi="宋体" w:hint="eastAsia"/>
          <w:sz w:val="30"/>
        </w:rPr>
        <w:lastRenderedPageBreak/>
        <w:t>十二、基金份额持有人名册的保管</w:t>
      </w:r>
      <w:bookmarkEnd w:id="99"/>
    </w:p>
    <w:p w14:paraId="05281A6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6E89D87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在基金托管人要求或编制中期报告和年度报告前，基金管理人应将有关资料送交基金托管人，不得无故拒绝或延误提供，并保证其真实性、准确性和完整性。</w:t>
      </w:r>
      <w:r>
        <w:rPr>
          <w:rFonts w:ascii="宋体" w:hAnsi="宋体" w:hint="eastAsia"/>
          <w:kern w:val="0"/>
          <w:sz w:val="24"/>
        </w:rPr>
        <w:t>基金托管人不得将所保管的基金份额持有人名册用于基金托管业务以外的其他用途，并应遵守保密义务。</w:t>
      </w:r>
    </w:p>
    <w:p w14:paraId="3942B236" w14:textId="77777777" w:rsidR="001F0793" w:rsidRDefault="001F0793">
      <w:pPr>
        <w:adjustRightInd w:val="0"/>
        <w:snapToGrid w:val="0"/>
        <w:spacing w:line="360" w:lineRule="auto"/>
        <w:rPr>
          <w:rFonts w:ascii="宋体" w:hAnsi="宋体" w:cs="Arial"/>
          <w:sz w:val="24"/>
        </w:rPr>
      </w:pPr>
    </w:p>
    <w:p w14:paraId="4EBB9F0D" w14:textId="77777777" w:rsidR="001F0793" w:rsidRDefault="00E53946">
      <w:pPr>
        <w:pStyle w:val="2"/>
        <w:spacing w:line="360" w:lineRule="auto"/>
        <w:jc w:val="center"/>
        <w:rPr>
          <w:rFonts w:ascii="宋体" w:eastAsia="宋体" w:hAnsi="宋体"/>
          <w:sz w:val="30"/>
        </w:rPr>
      </w:pPr>
      <w:bookmarkStart w:id="100" w:name="_Toc124325897"/>
      <w:r>
        <w:rPr>
          <w:rFonts w:ascii="宋体" w:eastAsia="宋体" w:hAnsi="宋体" w:hint="eastAsia"/>
          <w:sz w:val="30"/>
        </w:rPr>
        <w:t>十三、基金有关文件档案的保存</w:t>
      </w:r>
      <w:bookmarkEnd w:id="100"/>
    </w:p>
    <w:p w14:paraId="0ED1A2F9"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（一）档案保存</w:t>
      </w:r>
    </w:p>
    <w:p w14:paraId="1B65D77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2D08B69F"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（二）合同档案的建立</w:t>
      </w:r>
    </w:p>
    <w:p w14:paraId="4252ADE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1.基金管理人签署重大合同文本后，应及时将合同文本正本送达基金托管人处。</w:t>
      </w:r>
    </w:p>
    <w:p w14:paraId="78E757D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2.基金管理人应及时将与本基金账务处理、资金划拨等有关的合同、协议传真基金托管人。</w:t>
      </w:r>
    </w:p>
    <w:p w14:paraId="5E214E15"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（三）变更与协助</w:t>
      </w:r>
    </w:p>
    <w:p w14:paraId="3EBD7563" w14:textId="77777777" w:rsidR="001F0793" w:rsidRDefault="00E53946">
      <w:pPr>
        <w:adjustRightInd w:val="0"/>
        <w:snapToGrid w:val="0"/>
        <w:spacing w:line="360" w:lineRule="auto"/>
        <w:ind w:firstLineChars="200" w:firstLine="480"/>
        <w:rPr>
          <w:rFonts w:ascii="宋体" w:hAnsi="宋体"/>
          <w:b/>
          <w:bCs/>
          <w:sz w:val="30"/>
          <w:szCs w:val="30"/>
        </w:rPr>
      </w:pPr>
      <w:proofErr w:type="gramStart"/>
      <w:r>
        <w:rPr>
          <w:rFonts w:ascii="宋体" w:hAnsi="宋体" w:cs="Arial" w:hint="eastAsia"/>
          <w:sz w:val="24"/>
        </w:rPr>
        <w:t>若基金</w:t>
      </w:r>
      <w:proofErr w:type="gramEnd"/>
      <w:r>
        <w:rPr>
          <w:rFonts w:ascii="宋体" w:hAnsi="宋体" w:cs="Arial" w:hint="eastAsia"/>
          <w:sz w:val="24"/>
        </w:rPr>
        <w:t>管理人/基金托管人发生变更，未变更的一方有义务协助变更后的接任人接收相应文件。</w:t>
      </w:r>
    </w:p>
    <w:p w14:paraId="054D372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w:t>
      </w:r>
      <w:r>
        <w:rPr>
          <w:rFonts w:ascii="宋体" w:hAnsi="宋体" w:hint="eastAsia"/>
          <w:color w:val="000000"/>
        </w:rPr>
        <w:t>不低于</w:t>
      </w:r>
      <w:r>
        <w:rPr>
          <w:rFonts w:ascii="宋体" w:hAnsi="宋体" w:hint="eastAsia"/>
          <w:color w:val="000000"/>
          <w:szCs w:val="21"/>
        </w:rPr>
        <w:t>法律法规规定的最低期限</w:t>
      </w:r>
      <w:r>
        <w:rPr>
          <w:rFonts w:ascii="宋体" w:hAnsi="宋体" w:cs="Arial" w:hint="eastAsia"/>
          <w:sz w:val="24"/>
        </w:rPr>
        <w:t>。</w:t>
      </w:r>
    </w:p>
    <w:p w14:paraId="7E4A7583" w14:textId="77777777" w:rsidR="001F0793" w:rsidRDefault="001F0793">
      <w:pPr>
        <w:adjustRightInd w:val="0"/>
        <w:snapToGrid w:val="0"/>
        <w:spacing w:line="360" w:lineRule="auto"/>
        <w:rPr>
          <w:rFonts w:ascii="宋体" w:hAnsi="宋体"/>
          <w:sz w:val="30"/>
          <w:szCs w:val="30"/>
        </w:rPr>
      </w:pPr>
    </w:p>
    <w:p w14:paraId="098B1D53" w14:textId="77777777" w:rsidR="001F0793" w:rsidRDefault="00E53946">
      <w:pPr>
        <w:pStyle w:val="2"/>
        <w:spacing w:line="360" w:lineRule="auto"/>
        <w:jc w:val="center"/>
        <w:rPr>
          <w:rFonts w:ascii="宋体" w:eastAsia="宋体" w:hAnsi="宋体"/>
          <w:sz w:val="30"/>
        </w:rPr>
      </w:pPr>
      <w:bookmarkStart w:id="101" w:name="_Toc124325898"/>
      <w:r>
        <w:rPr>
          <w:rFonts w:ascii="宋体" w:eastAsia="宋体" w:hAnsi="宋体" w:hint="eastAsia"/>
          <w:sz w:val="30"/>
        </w:rPr>
        <w:t>十四、基金管理人和基金托管人的更换</w:t>
      </w:r>
      <w:bookmarkEnd w:id="101"/>
    </w:p>
    <w:p w14:paraId="38F0C10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（一）基金管理人职责终止的情形</w:t>
      </w:r>
    </w:p>
    <w:p w14:paraId="07294AF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1.基金管理人职责终止的情形</w:t>
      </w:r>
    </w:p>
    <w:p w14:paraId="562E768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有下列情形之一的，基金管理人职责终止：</w:t>
      </w:r>
    </w:p>
    <w:p w14:paraId="4F8699E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(1)被依法取消基金管理资格；</w:t>
      </w:r>
    </w:p>
    <w:p w14:paraId="79CAD98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(2)依法解散、被依法撤销或被依法宣告破产；</w:t>
      </w:r>
    </w:p>
    <w:p w14:paraId="7607189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(3)被基金份额持有人大会解任；</w:t>
      </w:r>
    </w:p>
    <w:p w14:paraId="0947DE2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(4)法律法规及中国证监会规定的和《基金合同》约定的其他情形。</w:t>
      </w:r>
    </w:p>
    <w:p w14:paraId="2521808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2.基金管理人的更换程序</w:t>
      </w:r>
    </w:p>
    <w:p w14:paraId="114C0A5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更换基金管理人必须依照如下程序进行：</w:t>
      </w:r>
    </w:p>
    <w:p w14:paraId="2D3582E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管理人由基金托管人</w:t>
      </w:r>
      <w:r>
        <w:rPr>
          <w:rFonts w:ascii="宋体" w:hAnsi="宋体" w:hint="eastAsia"/>
          <w:sz w:val="24"/>
        </w:rPr>
        <w:t>或由单独或合计持有10%以上(含10%)基金份额的基金份额持有人</w:t>
      </w:r>
      <w:r>
        <w:rPr>
          <w:rFonts w:ascii="宋体" w:hAnsi="宋体" w:cs="Arial" w:hint="eastAsia"/>
          <w:sz w:val="24"/>
        </w:rPr>
        <w:t>提名；</w:t>
      </w:r>
    </w:p>
    <w:p w14:paraId="78EB7C7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7D136D1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(3)临时基金管理人：</w:t>
      </w:r>
      <w:proofErr w:type="gramStart"/>
      <w:r>
        <w:rPr>
          <w:rFonts w:ascii="宋体" w:hAnsi="宋体" w:cs="Arial" w:hint="eastAsia"/>
          <w:sz w:val="24"/>
        </w:rPr>
        <w:t>新任基金</w:t>
      </w:r>
      <w:proofErr w:type="gramEnd"/>
      <w:r>
        <w:rPr>
          <w:rFonts w:ascii="宋体" w:hAnsi="宋体" w:cs="Arial" w:hint="eastAsia"/>
          <w:sz w:val="24"/>
        </w:rPr>
        <w:t>管理人产生之前，由中国证监会指定临时基金管理人；</w:t>
      </w:r>
    </w:p>
    <w:p w14:paraId="6D4D400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(4)备案：基金份额持有人大会选任基金管理人的决议须报中国证监会备案；</w:t>
      </w:r>
    </w:p>
    <w:p w14:paraId="479D642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(5)公告：基金管理人更换后，由基金托管人在更换基金管理人的基金份额持有人大会决议生效后2日内在规定媒介公告；</w:t>
      </w:r>
    </w:p>
    <w:p w14:paraId="7C189E8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(6)交接：基金管理人职责终止的，基金管理人应妥善保管基金管理业务资料，及时向临时基金管理人或</w:t>
      </w:r>
      <w:proofErr w:type="gramStart"/>
      <w:r>
        <w:rPr>
          <w:rFonts w:ascii="宋体" w:hAnsi="宋体" w:cs="Arial" w:hint="eastAsia"/>
          <w:sz w:val="24"/>
        </w:rPr>
        <w:t>新任基金</w:t>
      </w:r>
      <w:proofErr w:type="gramEnd"/>
      <w:r>
        <w:rPr>
          <w:rFonts w:ascii="宋体" w:hAnsi="宋体" w:cs="Arial" w:hint="eastAsia"/>
          <w:sz w:val="24"/>
        </w:rPr>
        <w:t>管理人办理基金管理业务的移交手续，临时基金管理人或</w:t>
      </w:r>
      <w:proofErr w:type="gramStart"/>
      <w:r>
        <w:rPr>
          <w:rFonts w:ascii="宋体" w:hAnsi="宋体" w:cs="Arial" w:hint="eastAsia"/>
          <w:sz w:val="24"/>
        </w:rPr>
        <w:t>新任基金</w:t>
      </w:r>
      <w:proofErr w:type="gramEnd"/>
      <w:r>
        <w:rPr>
          <w:rFonts w:ascii="宋体" w:hAnsi="宋体" w:cs="Arial" w:hint="eastAsia"/>
          <w:sz w:val="24"/>
        </w:rPr>
        <w:t>管理人应及时接收。临时基金管理人或</w:t>
      </w:r>
      <w:proofErr w:type="gramStart"/>
      <w:r>
        <w:rPr>
          <w:rFonts w:ascii="宋体" w:hAnsi="宋体" w:cs="Arial" w:hint="eastAsia"/>
          <w:sz w:val="24"/>
        </w:rPr>
        <w:t>新任基金</w:t>
      </w:r>
      <w:proofErr w:type="gramEnd"/>
      <w:r>
        <w:rPr>
          <w:rFonts w:ascii="宋体" w:hAnsi="宋体" w:cs="Arial" w:hint="eastAsia"/>
          <w:sz w:val="24"/>
        </w:rPr>
        <w:t>管理人应与基金托管人核对基金净值信息；</w:t>
      </w:r>
    </w:p>
    <w:p w14:paraId="5787C51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(7)审计：基金管理人职责终止的，应当按照法律法规规定聘请会计师事务所对基金财产进行审计，并将审计结果予以公告，同时报中国证监会备案；</w:t>
      </w:r>
    </w:p>
    <w:p w14:paraId="0EA0E7FD" w14:textId="77777777" w:rsidR="001F0793" w:rsidRDefault="00E53946">
      <w:pPr>
        <w:adjustRightInd w:val="0"/>
        <w:snapToGrid w:val="0"/>
        <w:spacing w:line="360" w:lineRule="auto"/>
        <w:ind w:firstLineChars="200" w:firstLine="480"/>
        <w:rPr>
          <w:rFonts w:ascii="宋体" w:hAnsi="宋体"/>
          <w:sz w:val="30"/>
          <w:szCs w:val="30"/>
        </w:rPr>
      </w:pPr>
      <w:r>
        <w:rPr>
          <w:rFonts w:ascii="宋体" w:hAnsi="宋体" w:cs="Arial" w:hint="eastAsia"/>
          <w:sz w:val="24"/>
        </w:rPr>
        <w:t>(8)基金名称变更：基金管理人更换后，如果原任或</w:t>
      </w:r>
      <w:proofErr w:type="gramStart"/>
      <w:r>
        <w:rPr>
          <w:rFonts w:ascii="宋体" w:hAnsi="宋体" w:cs="Arial" w:hint="eastAsia"/>
          <w:sz w:val="24"/>
        </w:rPr>
        <w:t>新任基金</w:t>
      </w:r>
      <w:proofErr w:type="gramEnd"/>
      <w:r>
        <w:rPr>
          <w:rFonts w:ascii="宋体" w:hAnsi="宋体" w:cs="Arial" w:hint="eastAsia"/>
          <w:sz w:val="24"/>
        </w:rPr>
        <w:t>管理人要求，应</w:t>
      </w:r>
      <w:r>
        <w:rPr>
          <w:rFonts w:ascii="宋体" w:hAnsi="宋体" w:cs="Arial" w:hint="eastAsia"/>
          <w:sz w:val="24"/>
        </w:rPr>
        <w:lastRenderedPageBreak/>
        <w:t>按其要求替换或删除基金名称中与</w:t>
      </w:r>
      <w:proofErr w:type="gramStart"/>
      <w:r>
        <w:rPr>
          <w:rFonts w:ascii="宋体" w:hAnsi="宋体" w:cs="Arial" w:hint="eastAsia"/>
          <w:sz w:val="24"/>
        </w:rPr>
        <w:t>原基金</w:t>
      </w:r>
      <w:proofErr w:type="gramEnd"/>
      <w:r>
        <w:rPr>
          <w:rFonts w:ascii="宋体" w:hAnsi="宋体" w:cs="Arial" w:hint="eastAsia"/>
          <w:sz w:val="24"/>
        </w:rPr>
        <w:t>管理人有关的名称字样。</w:t>
      </w:r>
    </w:p>
    <w:p w14:paraId="4DF0863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（二）基金托管人职责终止的情形</w:t>
      </w:r>
    </w:p>
    <w:p w14:paraId="1F59B36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1.基金托管人职责终止的情形</w:t>
      </w:r>
    </w:p>
    <w:p w14:paraId="4F43BAC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有下列情形之一的，基金托管人职责终止：</w:t>
      </w:r>
    </w:p>
    <w:p w14:paraId="746127A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(1)被依法取消基金托管资格；</w:t>
      </w:r>
    </w:p>
    <w:p w14:paraId="4E3B16D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(2)依法解散、被依法撤销或被依法宣告破产；</w:t>
      </w:r>
    </w:p>
    <w:p w14:paraId="4BE7588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(3)被基金份额持有人大会解任；</w:t>
      </w:r>
    </w:p>
    <w:p w14:paraId="053BC52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(4)法律法规及中国证监会规定的和《基金合同》约定的其他情形。</w:t>
      </w:r>
    </w:p>
    <w:p w14:paraId="6108278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2.基金托管人的更换程序</w:t>
      </w:r>
    </w:p>
    <w:p w14:paraId="10E1AAF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托管人由基金管理人</w:t>
      </w:r>
      <w:r>
        <w:rPr>
          <w:rFonts w:ascii="宋体" w:hAnsi="宋体" w:hint="eastAsia"/>
          <w:sz w:val="24"/>
        </w:rPr>
        <w:t>或由单独或合计持有10%以上(含10%)基金份额的基金份额持有人</w:t>
      </w:r>
      <w:r>
        <w:rPr>
          <w:rFonts w:ascii="宋体" w:hAnsi="宋体" w:cs="Arial" w:hint="eastAsia"/>
          <w:sz w:val="24"/>
        </w:rPr>
        <w:t>提名；</w:t>
      </w:r>
    </w:p>
    <w:p w14:paraId="3C6839F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584A51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(3)临时基金托管人：</w:t>
      </w:r>
      <w:proofErr w:type="gramStart"/>
      <w:r>
        <w:rPr>
          <w:rFonts w:ascii="宋体" w:hAnsi="宋体" w:cs="Arial" w:hint="eastAsia"/>
          <w:sz w:val="24"/>
        </w:rPr>
        <w:t>新任基金</w:t>
      </w:r>
      <w:proofErr w:type="gramEnd"/>
      <w:r>
        <w:rPr>
          <w:rFonts w:ascii="宋体" w:hAnsi="宋体" w:cs="Arial" w:hint="eastAsia"/>
          <w:sz w:val="24"/>
        </w:rPr>
        <w:t>托管人产生之前，由中国证监会指定临时基金托管人；</w:t>
      </w:r>
    </w:p>
    <w:p w14:paraId="4CBDBCC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(4)备案：基金份额持有人大会更换基金托管人的决议须报中国证监会备案；</w:t>
      </w:r>
    </w:p>
    <w:p w14:paraId="25FF968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(5)公告：基金托管人更换后，由基金管理人在更换基金托管人的基金份额持有人大会决议生效后 2日内在规定媒介公告；</w:t>
      </w:r>
    </w:p>
    <w:p w14:paraId="593D8A8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(6)交接：基金托管人职责终止的，应当妥善保管基金财产和基金托管业务资料，及时办理基金财产和基金托管业务的移交手续，</w:t>
      </w:r>
      <w:proofErr w:type="gramStart"/>
      <w:r>
        <w:rPr>
          <w:rFonts w:ascii="宋体" w:hAnsi="宋体" w:cs="Arial" w:hint="eastAsia"/>
          <w:sz w:val="24"/>
        </w:rPr>
        <w:t>新任基金</w:t>
      </w:r>
      <w:proofErr w:type="gramEnd"/>
      <w:r>
        <w:rPr>
          <w:rFonts w:ascii="宋体" w:hAnsi="宋体" w:cs="Arial" w:hint="eastAsia"/>
          <w:sz w:val="24"/>
        </w:rPr>
        <w:t>托管人或者临时基金托管人应当及时接收。</w:t>
      </w:r>
      <w:proofErr w:type="gramStart"/>
      <w:r>
        <w:rPr>
          <w:rFonts w:ascii="宋体" w:hAnsi="宋体" w:cs="Arial" w:hint="eastAsia"/>
          <w:sz w:val="24"/>
        </w:rPr>
        <w:t>新任基金</w:t>
      </w:r>
      <w:proofErr w:type="gramEnd"/>
      <w:r>
        <w:rPr>
          <w:rFonts w:ascii="宋体" w:hAnsi="宋体" w:cs="Arial" w:hint="eastAsia"/>
          <w:sz w:val="24"/>
        </w:rPr>
        <w:t>托管人或临时基金托管人与基金管理人核对基金净值信息；</w:t>
      </w:r>
    </w:p>
    <w:p w14:paraId="28F8820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(7)审计：基金托管人职责终止的，应当按照法律法规规定聘请会计师事务所对基金财产进行审计，并将审计结果予以公告，同时报中国证监会备案。</w:t>
      </w:r>
    </w:p>
    <w:p w14:paraId="60A16C0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（三）基金管理人与基金托管人同时更换的条件和程序</w:t>
      </w:r>
    </w:p>
    <w:p w14:paraId="2BBB5EA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4E2B196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2.基金管理人和基金托管人的更换分别按上述程序进行；</w:t>
      </w:r>
    </w:p>
    <w:p w14:paraId="6679DA4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3.公告：</w:t>
      </w:r>
      <w:proofErr w:type="gramStart"/>
      <w:r>
        <w:rPr>
          <w:rFonts w:ascii="宋体" w:hAnsi="宋体" w:cs="Arial" w:hint="eastAsia"/>
          <w:sz w:val="24"/>
        </w:rPr>
        <w:t>新任基金</w:t>
      </w:r>
      <w:proofErr w:type="gramEnd"/>
      <w:r>
        <w:rPr>
          <w:rFonts w:ascii="宋体" w:hAnsi="宋体" w:cs="Arial" w:hint="eastAsia"/>
          <w:sz w:val="24"/>
        </w:rPr>
        <w:t>管理人和</w:t>
      </w:r>
      <w:proofErr w:type="gramStart"/>
      <w:r>
        <w:rPr>
          <w:rFonts w:ascii="宋体" w:hAnsi="宋体" w:cs="Arial" w:hint="eastAsia"/>
          <w:sz w:val="24"/>
        </w:rPr>
        <w:t>新任基金</w:t>
      </w:r>
      <w:proofErr w:type="gramEnd"/>
      <w:r>
        <w:rPr>
          <w:rFonts w:ascii="宋体" w:hAnsi="宋体" w:cs="Arial" w:hint="eastAsia"/>
          <w:sz w:val="24"/>
        </w:rPr>
        <w:t>托管人应在更换基金管理人和基金托管</w:t>
      </w:r>
      <w:r>
        <w:rPr>
          <w:rFonts w:ascii="宋体" w:hAnsi="宋体" w:cs="Arial" w:hint="eastAsia"/>
          <w:sz w:val="24"/>
        </w:rPr>
        <w:lastRenderedPageBreak/>
        <w:t>人的基金份额持有人大会决议生效后2日内在规定媒介上联合公告。</w:t>
      </w:r>
    </w:p>
    <w:p w14:paraId="6BB8DF6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（四）新任或临时基金管理人接收基金管理业务或新任或临时基金托管人接收基金财产和基金托管业务前，</w:t>
      </w:r>
      <w:proofErr w:type="gramStart"/>
      <w:r>
        <w:rPr>
          <w:rFonts w:ascii="宋体" w:hAnsi="宋体" w:cs="Arial" w:hint="eastAsia"/>
          <w:sz w:val="24"/>
        </w:rPr>
        <w:t>原基金</w:t>
      </w:r>
      <w:proofErr w:type="gramEnd"/>
      <w:r>
        <w:rPr>
          <w:rFonts w:ascii="宋体" w:hAnsi="宋体" w:cs="Arial" w:hint="eastAsia"/>
          <w:sz w:val="24"/>
        </w:rPr>
        <w:t>管理人或</w:t>
      </w:r>
      <w:proofErr w:type="gramStart"/>
      <w:r>
        <w:rPr>
          <w:rFonts w:ascii="宋体" w:hAnsi="宋体" w:cs="Arial" w:hint="eastAsia"/>
          <w:sz w:val="24"/>
        </w:rPr>
        <w:t>原基金</w:t>
      </w:r>
      <w:proofErr w:type="gramEnd"/>
      <w:r>
        <w:rPr>
          <w:rFonts w:ascii="宋体" w:hAnsi="宋体" w:cs="Arial" w:hint="eastAsia"/>
          <w:sz w:val="24"/>
        </w:rPr>
        <w:t>托管人应继续履行相关职责，并保证不做出对基金份额持有人的利益造成损害的行为。</w:t>
      </w:r>
      <w:proofErr w:type="gramStart"/>
      <w:r>
        <w:rPr>
          <w:rFonts w:ascii="宋体" w:hAnsi="宋体" w:cs="Arial" w:hint="eastAsia"/>
          <w:sz w:val="24"/>
        </w:rPr>
        <w:t>原基金</w:t>
      </w:r>
      <w:proofErr w:type="gramEnd"/>
      <w:r>
        <w:rPr>
          <w:rFonts w:ascii="宋体" w:hAnsi="宋体" w:cs="Arial" w:hint="eastAsia"/>
          <w:sz w:val="24"/>
        </w:rPr>
        <w:t>管理人或</w:t>
      </w:r>
      <w:proofErr w:type="gramStart"/>
      <w:r>
        <w:rPr>
          <w:rFonts w:ascii="宋体" w:hAnsi="宋体" w:cs="Arial" w:hint="eastAsia"/>
          <w:sz w:val="24"/>
        </w:rPr>
        <w:t>原基金</w:t>
      </w:r>
      <w:proofErr w:type="gramEnd"/>
      <w:r>
        <w:rPr>
          <w:rFonts w:ascii="宋体" w:hAnsi="宋体" w:cs="Arial" w:hint="eastAsia"/>
          <w:sz w:val="24"/>
        </w:rPr>
        <w:t>托管人在继续履行相关职责期间，仍有权按照基金合同和本协议的规定收取基金管理费或基金托管费。</w:t>
      </w:r>
    </w:p>
    <w:p w14:paraId="2E5EDF3D" w14:textId="77777777" w:rsidR="001F0793" w:rsidRDefault="001F0793">
      <w:pPr>
        <w:adjustRightInd w:val="0"/>
        <w:snapToGrid w:val="0"/>
        <w:spacing w:line="360" w:lineRule="auto"/>
        <w:rPr>
          <w:rFonts w:ascii="宋体" w:hAnsi="宋体" w:cs="Arial"/>
          <w:sz w:val="24"/>
        </w:rPr>
      </w:pPr>
    </w:p>
    <w:p w14:paraId="08A6EDD2" w14:textId="77777777" w:rsidR="001F0793" w:rsidRDefault="00E53946">
      <w:pPr>
        <w:pStyle w:val="2"/>
        <w:spacing w:line="360" w:lineRule="auto"/>
        <w:jc w:val="center"/>
        <w:rPr>
          <w:rFonts w:ascii="宋体" w:eastAsia="宋体" w:hAnsi="宋体"/>
          <w:sz w:val="30"/>
        </w:rPr>
      </w:pPr>
      <w:bookmarkStart w:id="102" w:name="_Toc124325899"/>
      <w:r>
        <w:rPr>
          <w:rFonts w:ascii="宋体" w:eastAsia="宋体" w:hAnsi="宋体" w:hint="eastAsia"/>
          <w:sz w:val="30"/>
        </w:rPr>
        <w:t>十五、禁止行为</w:t>
      </w:r>
      <w:bookmarkEnd w:id="102"/>
    </w:p>
    <w:p w14:paraId="06FE4FC8"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本协议当事人禁止从事的行为，包括但不限于：</w:t>
      </w:r>
    </w:p>
    <w:p w14:paraId="654771DD" w14:textId="77777777" w:rsidR="001F0793" w:rsidRDefault="00E53946">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00E80CB2" w14:textId="77777777" w:rsidR="001F0793" w:rsidRDefault="00E53946">
      <w:pPr>
        <w:spacing w:line="360" w:lineRule="auto"/>
        <w:ind w:firstLineChars="200"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14:paraId="613BC13C" w14:textId="77777777" w:rsidR="001F0793" w:rsidRDefault="00E53946">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4C70F9F5" w14:textId="77777777" w:rsidR="001F0793" w:rsidRDefault="00E53946">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2532052C"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（五）基金管理人、基金托管人对他人泄露基金运作和管理过程中任何尚未按法律法规规定的方式公开披露的信息。</w:t>
      </w:r>
    </w:p>
    <w:p w14:paraId="0AFD224F" w14:textId="77777777" w:rsidR="001F0793" w:rsidRDefault="00E53946">
      <w:pPr>
        <w:pStyle w:val="a6"/>
        <w:spacing w:line="360" w:lineRule="auto"/>
        <w:outlineLvl w:val="0"/>
        <w:rPr>
          <w:rFonts w:ascii="宋体" w:eastAsia="宋体" w:hAnsi="宋体" w:cs="Arial"/>
          <w:szCs w:val="24"/>
        </w:rPr>
      </w:pPr>
      <w:r>
        <w:rPr>
          <w:rFonts w:ascii="宋体" w:eastAsia="宋体" w:hAnsi="宋体" w:cs="Arial" w:hint="eastAsia"/>
          <w:szCs w:val="24"/>
        </w:rPr>
        <w:t>（六）基金管理人在没有充足资金的情况下向基金托管人发出投资指令和赎回、分红资金的划拨指令，或违规向基金托管人发出指令。</w:t>
      </w:r>
    </w:p>
    <w:p w14:paraId="2C19E274"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（七）基金管理人、基金托管人在行政上、财务上不</w:t>
      </w:r>
      <w:proofErr w:type="gramStart"/>
      <w:r>
        <w:rPr>
          <w:rFonts w:ascii="宋体" w:hAnsi="宋体" w:cs="Arial" w:hint="eastAsia"/>
          <w:sz w:val="24"/>
        </w:rPr>
        <w:t>独立,</w:t>
      </w:r>
      <w:proofErr w:type="gramEnd"/>
      <w:r>
        <w:rPr>
          <w:rFonts w:ascii="宋体" w:hAnsi="宋体" w:cs="Arial" w:hint="eastAsia"/>
          <w:sz w:val="24"/>
        </w:rPr>
        <w:t xml:space="preserve"> 其高级管理人员和其他从业人员相互兼职。</w:t>
      </w:r>
    </w:p>
    <w:p w14:paraId="781146FE" w14:textId="77777777" w:rsidR="001F0793" w:rsidRDefault="00E53946">
      <w:pPr>
        <w:spacing w:line="360" w:lineRule="auto"/>
        <w:ind w:firstLineChars="200" w:firstLine="480"/>
        <w:rPr>
          <w:rFonts w:ascii="宋体" w:hAnsi="宋体" w:cs="Arial"/>
          <w:sz w:val="24"/>
        </w:rPr>
      </w:pPr>
      <w:r>
        <w:rPr>
          <w:rFonts w:ascii="宋体" w:hAnsi="宋体" w:cs="Arial" w:hint="eastAsia"/>
          <w:sz w:val="24"/>
        </w:rPr>
        <w:t>（八）基金托管人私自动用或处分基金财产，根据基金管理人的有效指令、《基金合同》或托管协议的规定进行处分的除外。</w:t>
      </w:r>
    </w:p>
    <w:p w14:paraId="49DD69B8" w14:textId="5B7DB00C" w:rsidR="001F0793" w:rsidRDefault="00E53946">
      <w:pPr>
        <w:spacing w:line="360" w:lineRule="auto"/>
        <w:ind w:firstLineChars="200" w:firstLine="480"/>
        <w:rPr>
          <w:rFonts w:ascii="宋体" w:hAnsi="宋体"/>
          <w:sz w:val="24"/>
        </w:rPr>
      </w:pPr>
      <w:r>
        <w:rPr>
          <w:rFonts w:ascii="宋体" w:hAnsi="宋体" w:hint="eastAsia"/>
          <w:sz w:val="24"/>
        </w:rPr>
        <w:t>（九）</w:t>
      </w:r>
      <w:r>
        <w:rPr>
          <w:rFonts w:ascii="宋体" w:hAnsi="宋体" w:cs="Arial" w:hint="eastAsia"/>
          <w:sz w:val="24"/>
        </w:rPr>
        <w:t>基金财产</w:t>
      </w:r>
      <w:r>
        <w:rPr>
          <w:rFonts w:ascii="宋体" w:hAnsi="宋体"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w:t>
      </w:r>
      <w:r>
        <w:rPr>
          <w:rFonts w:ascii="宋体" w:hAnsi="宋体" w:hint="eastAsia"/>
          <w:sz w:val="24"/>
        </w:rPr>
        <w:lastRenderedPageBreak/>
        <w:t>务院证券监督管理机构规定禁止的其他活动。法律法规或监管部门取消上述限制，如适用于本基金，</w:t>
      </w:r>
      <w:r w:rsidR="00ED7AE2" w:rsidRPr="00ED7AE2">
        <w:rPr>
          <w:rFonts w:ascii="宋体" w:hAnsi="宋体" w:hint="eastAsia"/>
          <w:sz w:val="24"/>
        </w:rPr>
        <w:t>经履行适当程序后，</w:t>
      </w:r>
      <w:r>
        <w:rPr>
          <w:rFonts w:ascii="宋体" w:hAnsi="宋体" w:hint="eastAsia"/>
          <w:sz w:val="24"/>
        </w:rPr>
        <w:t>本基金投资不再受相关限制。</w:t>
      </w:r>
    </w:p>
    <w:p w14:paraId="4E2DA3F7" w14:textId="77777777" w:rsidR="001F0793" w:rsidRDefault="00E53946">
      <w:pPr>
        <w:adjustRightInd w:val="0"/>
        <w:snapToGrid w:val="0"/>
        <w:spacing w:line="360" w:lineRule="auto"/>
        <w:ind w:firstLineChars="200" w:firstLine="480"/>
        <w:outlineLvl w:val="0"/>
        <w:rPr>
          <w:rFonts w:ascii="宋体" w:hAnsi="宋体"/>
          <w:sz w:val="24"/>
        </w:rPr>
      </w:pPr>
      <w:r>
        <w:rPr>
          <w:rFonts w:ascii="宋体" w:hAnsi="宋体" w:hint="eastAsia"/>
          <w:sz w:val="24"/>
        </w:rPr>
        <w:t>（十）法律法规和《基金合同》禁止的其他行为，以及依照法律、行政法规有关规定，由国务院证券监督管理机构规定禁止基金管理人、基金托管人从事的其他行为。</w:t>
      </w:r>
    </w:p>
    <w:p w14:paraId="47F818B1" w14:textId="77777777" w:rsidR="001F0793" w:rsidRDefault="001F0793">
      <w:pPr>
        <w:adjustRightInd w:val="0"/>
        <w:snapToGrid w:val="0"/>
        <w:spacing w:line="360" w:lineRule="auto"/>
        <w:rPr>
          <w:rFonts w:ascii="宋体" w:hAnsi="宋体"/>
          <w:sz w:val="30"/>
          <w:szCs w:val="30"/>
        </w:rPr>
      </w:pPr>
    </w:p>
    <w:p w14:paraId="13D80F9A" w14:textId="77777777" w:rsidR="001F0793" w:rsidRDefault="00E53946">
      <w:pPr>
        <w:pStyle w:val="2"/>
        <w:spacing w:line="360" w:lineRule="auto"/>
        <w:jc w:val="center"/>
        <w:rPr>
          <w:rFonts w:ascii="宋体" w:eastAsia="宋体" w:hAnsi="宋体"/>
          <w:sz w:val="30"/>
        </w:rPr>
      </w:pPr>
      <w:bookmarkStart w:id="103" w:name="_Toc124325900"/>
      <w:r>
        <w:rPr>
          <w:rFonts w:ascii="宋体" w:eastAsia="宋体" w:hAnsi="宋体" w:hint="eastAsia"/>
          <w:sz w:val="30"/>
        </w:rPr>
        <w:t>十六、托管协议的变更、终止与基金财产的清算</w:t>
      </w:r>
      <w:bookmarkEnd w:id="103"/>
    </w:p>
    <w:p w14:paraId="62DB3D7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（一）托管协议的变更程序</w:t>
      </w:r>
    </w:p>
    <w:p w14:paraId="0FD2ED9B"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本协议双方当事人经协商一致，可以对协议进行修改。修改后的新协议，其内容不得与《基金合同》的规定有任何冲突。</w:t>
      </w:r>
    </w:p>
    <w:p w14:paraId="29F21D3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（二）托管协议终止的情形</w:t>
      </w:r>
    </w:p>
    <w:p w14:paraId="4856980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w:t>
      </w:r>
    </w:p>
    <w:p w14:paraId="3D12F30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2.基金托管人解散、依法被撤销、破产或由其他基金托管人接管基金资产；</w:t>
      </w:r>
    </w:p>
    <w:p w14:paraId="1B01122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3.基金管理人解散、依法被撤销、破产或由其他基金管理人接管基金管理权；</w:t>
      </w:r>
    </w:p>
    <w:p w14:paraId="1322432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4.发生法律法规或《基金合同》规定的终止事项。</w:t>
      </w:r>
    </w:p>
    <w:p w14:paraId="2475FE1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（三）基金财产的清算</w:t>
      </w:r>
    </w:p>
    <w:p w14:paraId="5DA2700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3BB1BAE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14:paraId="2C5C066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3.基金财产清算小组职责：基金财产清算小组负责基金财产的保管、清理、估价、变现和分配。基金财产清算小组可以依法进行必要的民事活动。</w:t>
      </w:r>
    </w:p>
    <w:p w14:paraId="616DCEF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4.基金财产清算程序：</w:t>
      </w:r>
    </w:p>
    <w:p w14:paraId="4CA9D31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(1)《基金合同》终止情形出现时，由基金财产清算小组统一接管基金；</w:t>
      </w:r>
    </w:p>
    <w:p w14:paraId="2A14E34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(2)对基金财产和债权债务进行清理和确认；</w:t>
      </w:r>
    </w:p>
    <w:p w14:paraId="7E5F7879"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(3)对基金财产进行估值和变现；</w:t>
      </w:r>
    </w:p>
    <w:p w14:paraId="2F9DB2D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(4)制作清算报告；</w:t>
      </w:r>
    </w:p>
    <w:p w14:paraId="4FE1D55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(5)聘请会计师事务所对清算报告进行外部审计，聘请律师事务所对清算报告出具法律意见书；</w:t>
      </w:r>
    </w:p>
    <w:p w14:paraId="25C152A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(6)将清算报告报中国证监会备案并公告；</w:t>
      </w:r>
    </w:p>
    <w:p w14:paraId="048C9C6D"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(7)对基金剩余财产进行分配。</w:t>
      </w:r>
    </w:p>
    <w:p w14:paraId="2159A73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5.基金财产清算的期限为6个月，但因本基金所持证券的流动性受到限制而不能及时变现的，清算期限相应顺延。</w:t>
      </w:r>
    </w:p>
    <w:p w14:paraId="0770A38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6.清算费用</w:t>
      </w:r>
    </w:p>
    <w:p w14:paraId="073D3A0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清算费用是指基金财产清算小组在进行基金清算过程中发生的所有合理费用，清算费用由基金财产清算小组优先从基金财产中支付。</w:t>
      </w:r>
    </w:p>
    <w:p w14:paraId="52E7A77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7.基金财产清算剩余资产的分配：</w:t>
      </w:r>
    </w:p>
    <w:p w14:paraId="1C1024F3"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326631E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8.基金财产清算的公告</w:t>
      </w:r>
    </w:p>
    <w:p w14:paraId="15954A8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清算过程中的有关重大事项须及时公告；基金财产清算报告</w:t>
      </w:r>
      <w:proofErr w:type="gramStart"/>
      <w:r>
        <w:rPr>
          <w:rFonts w:ascii="宋体" w:hAnsi="宋体" w:cs="Arial" w:hint="eastAsia"/>
          <w:sz w:val="24"/>
        </w:rPr>
        <w:t>经符合</w:t>
      </w:r>
      <w:proofErr w:type="gramEnd"/>
      <w:r>
        <w:rPr>
          <w:rFonts w:ascii="宋体" w:hAnsi="宋体" w:cs="Arial" w:hint="eastAsia"/>
          <w:sz w:val="24"/>
        </w:rPr>
        <w:t>《证券法》规定的会计师事务所审计、并由律师事务所出具法律意见书后，报中国证监会备案并公告。基金财产清算小组应当将清算报告登载在规定网站上，并将清算报告提示性公告登载在规定报刊上。</w:t>
      </w:r>
    </w:p>
    <w:p w14:paraId="1B58EE31"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9.基金财产清算账册及文件的保存</w:t>
      </w:r>
    </w:p>
    <w:p w14:paraId="3DB69CC7"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基金财产清算账册及有关文件由基金托管人保存，保存</w:t>
      </w:r>
      <w:r>
        <w:rPr>
          <w:rFonts w:ascii="宋体" w:hAnsi="宋体" w:cs="Arial" w:hint="eastAsia"/>
          <w:bCs/>
          <w:sz w:val="24"/>
        </w:rPr>
        <w:t>期限</w:t>
      </w:r>
      <w:r>
        <w:rPr>
          <w:rFonts w:ascii="宋体" w:hAnsi="宋体" w:cs="Arial" w:hint="eastAsia"/>
          <w:sz w:val="24"/>
        </w:rPr>
        <w:t>不低于法律法规规定的最低期限。</w:t>
      </w:r>
    </w:p>
    <w:p w14:paraId="21A94301" w14:textId="77777777" w:rsidR="001F0793" w:rsidRDefault="001F0793">
      <w:pPr>
        <w:adjustRightInd w:val="0"/>
        <w:snapToGrid w:val="0"/>
        <w:spacing w:line="360" w:lineRule="auto"/>
        <w:rPr>
          <w:rFonts w:ascii="宋体" w:hAnsi="宋体" w:cs="Arial"/>
          <w:sz w:val="24"/>
        </w:rPr>
      </w:pPr>
    </w:p>
    <w:p w14:paraId="757C467E" w14:textId="77777777" w:rsidR="001F0793" w:rsidRDefault="00E53946">
      <w:pPr>
        <w:pStyle w:val="2"/>
        <w:spacing w:line="360" w:lineRule="auto"/>
        <w:jc w:val="center"/>
        <w:rPr>
          <w:rFonts w:ascii="宋体" w:eastAsia="宋体" w:hAnsi="宋体"/>
          <w:sz w:val="30"/>
        </w:rPr>
      </w:pPr>
      <w:bookmarkStart w:id="104" w:name="_Toc124325901"/>
      <w:r>
        <w:rPr>
          <w:rFonts w:ascii="宋体" w:eastAsia="宋体" w:hAnsi="宋体" w:hint="eastAsia"/>
          <w:sz w:val="30"/>
        </w:rPr>
        <w:t>十七、违约责任</w:t>
      </w:r>
      <w:bookmarkEnd w:id="104"/>
    </w:p>
    <w:p w14:paraId="3BA93467"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（一）基金管理人、基金托管人不履行本协议或履行本协议不符合约定的，应当承担违约责任。</w:t>
      </w:r>
    </w:p>
    <w:p w14:paraId="654C2B28"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（二）基金管理人、基金托管人在履行各自职责的过程中，违反《基金法》或者《基金合同》和本托管协议约定，给基金财产或者基金份额持有人造成损害的，</w:t>
      </w:r>
      <w:r>
        <w:rPr>
          <w:rFonts w:ascii="宋体" w:hAnsi="宋体" w:cs="Arial" w:hint="eastAsia"/>
          <w:sz w:val="24"/>
        </w:rPr>
        <w:lastRenderedPageBreak/>
        <w:t>应当分别对各自的行为依法承担赔偿责任；因共同行为给基金财产或者基金份额持有人造成损害的，应当承担连带赔偿责任，对损失的赔偿，仅限于直接损失。</w:t>
      </w:r>
    </w:p>
    <w:p w14:paraId="36209245"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的，当事人免责：</w:t>
      </w:r>
    </w:p>
    <w:p w14:paraId="1A983AC2"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1.不可抗力；</w:t>
      </w:r>
    </w:p>
    <w:p w14:paraId="5D12E836"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2.基金管理人、基金托管人按照当时有效的法律法规或中国证监会的规定作为或不作为而造成的损失等；</w:t>
      </w:r>
    </w:p>
    <w:p w14:paraId="3963414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3.在没有过错的情况下，基金管理人由于按照《基金合同》规定的投资原则投资或不投资造成的直接损失或潜在损失等；</w:t>
      </w:r>
    </w:p>
    <w:p w14:paraId="2FCB01BA" w14:textId="5CB064D2" w:rsidR="001F0793" w:rsidRDefault="00E53946">
      <w:pPr>
        <w:adjustRightInd w:val="0"/>
        <w:snapToGrid w:val="0"/>
        <w:spacing w:line="360" w:lineRule="auto"/>
        <w:ind w:firstLineChars="200" w:firstLine="480"/>
        <w:rPr>
          <w:rFonts w:ascii="宋体" w:hAnsi="宋体" w:cs="Arial"/>
          <w:sz w:val="24"/>
        </w:rPr>
      </w:pPr>
      <w:r>
        <w:rPr>
          <w:rFonts w:ascii="宋体" w:hAnsi="宋体" w:cs="Arial"/>
          <w:sz w:val="24"/>
        </w:rPr>
        <w:t>4</w:t>
      </w:r>
      <w:r>
        <w:rPr>
          <w:rFonts w:ascii="宋体" w:hAnsi="宋体" w:cs="Arial" w:hint="eastAsia"/>
          <w:sz w:val="24"/>
        </w:rPr>
        <w:t>.非因基金管理人、基金托管人的故意或重大过失造成的计算机系统故障、网络故障、通讯故障、电力故障、计算机病毒攻击及其他意外事故所导致的损失等。</w:t>
      </w:r>
    </w:p>
    <w:p w14:paraId="1A0E0F5E"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87057FA"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78EBC897" w14:textId="77777777" w:rsidR="001F0793" w:rsidRDefault="00E53946">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087B4098" w14:textId="77777777" w:rsidR="001F0793" w:rsidRDefault="001F0793">
      <w:pPr>
        <w:adjustRightInd w:val="0"/>
        <w:snapToGrid w:val="0"/>
        <w:spacing w:line="360" w:lineRule="auto"/>
        <w:outlineLvl w:val="0"/>
        <w:rPr>
          <w:rFonts w:ascii="宋体" w:hAnsi="宋体" w:cs="Arial"/>
          <w:sz w:val="24"/>
        </w:rPr>
      </w:pPr>
    </w:p>
    <w:p w14:paraId="7B69C4E2" w14:textId="77777777" w:rsidR="001F0793" w:rsidRDefault="00E53946">
      <w:pPr>
        <w:pStyle w:val="2"/>
        <w:spacing w:line="360" w:lineRule="auto"/>
        <w:jc w:val="center"/>
        <w:rPr>
          <w:rFonts w:ascii="宋体" w:eastAsia="宋体" w:hAnsi="宋体"/>
          <w:sz w:val="30"/>
        </w:rPr>
      </w:pPr>
      <w:bookmarkStart w:id="105" w:name="_Toc124325902"/>
      <w:r>
        <w:rPr>
          <w:rFonts w:ascii="宋体" w:eastAsia="宋体" w:hAnsi="宋体" w:hint="eastAsia"/>
          <w:sz w:val="30"/>
        </w:rPr>
        <w:t>十八、争议解决方式</w:t>
      </w:r>
      <w:bookmarkEnd w:id="105"/>
    </w:p>
    <w:p w14:paraId="23B2FEC0" w14:textId="69B249D3"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4E3CDEA"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14:paraId="525F4C65"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本协议受中国法律</w:t>
      </w:r>
      <w:r>
        <w:rPr>
          <w:rFonts w:ascii="等线" w:hAnsi="等线"/>
          <w:bCs/>
          <w:sz w:val="24"/>
        </w:rPr>
        <w:t>（</w:t>
      </w:r>
      <w:r>
        <w:rPr>
          <w:rFonts w:ascii="等线" w:hAnsi="等线" w:hint="eastAsia"/>
          <w:bCs/>
          <w:sz w:val="24"/>
        </w:rPr>
        <w:t>仅为本协议之目的，</w:t>
      </w:r>
      <w:r>
        <w:rPr>
          <w:rFonts w:ascii="等线" w:hAnsi="等线"/>
          <w:bCs/>
          <w:sz w:val="24"/>
        </w:rPr>
        <w:t>不包括香港、澳门特别行政区和台湾地区法律）</w:t>
      </w:r>
      <w:r>
        <w:rPr>
          <w:rFonts w:ascii="宋体" w:hAnsi="宋体" w:cs="Arial" w:hint="eastAsia"/>
          <w:sz w:val="24"/>
        </w:rPr>
        <w:t>管辖。</w:t>
      </w:r>
    </w:p>
    <w:p w14:paraId="2D0295FC" w14:textId="77777777" w:rsidR="001F0793" w:rsidRDefault="001F0793">
      <w:pPr>
        <w:adjustRightInd w:val="0"/>
        <w:snapToGrid w:val="0"/>
        <w:spacing w:line="360" w:lineRule="auto"/>
        <w:rPr>
          <w:rFonts w:ascii="宋体" w:hAnsi="宋体" w:cs="Arial"/>
          <w:sz w:val="24"/>
        </w:rPr>
      </w:pPr>
    </w:p>
    <w:p w14:paraId="5740AF79" w14:textId="77777777" w:rsidR="001F0793" w:rsidRDefault="00E53946">
      <w:pPr>
        <w:pStyle w:val="2"/>
        <w:spacing w:line="360" w:lineRule="auto"/>
        <w:jc w:val="center"/>
        <w:rPr>
          <w:rFonts w:ascii="宋体" w:eastAsia="宋体" w:hAnsi="宋体"/>
          <w:sz w:val="30"/>
        </w:rPr>
      </w:pPr>
      <w:bookmarkStart w:id="106" w:name="_Toc124325903"/>
      <w:r>
        <w:rPr>
          <w:rFonts w:ascii="宋体" w:eastAsia="宋体" w:hAnsi="宋体" w:hint="eastAsia"/>
          <w:sz w:val="30"/>
        </w:rPr>
        <w:t>十九、托管协议的效力</w:t>
      </w:r>
      <w:bookmarkEnd w:id="106"/>
    </w:p>
    <w:p w14:paraId="6798A75F"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双方对托管协议的效力约定如下：</w:t>
      </w:r>
    </w:p>
    <w:p w14:paraId="6659CF5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在向中国证监会申请发售基金份额时提交的托管协议草案，应经托管协议当事人双方加盖公章或合同专业章以及双方法定代表人或授权代表签字（或盖章），协议当事人双方根据中国证监会的意见修改托管协议草案。托管协议以中国证监会备案的文本为正式文本。</w:t>
      </w:r>
    </w:p>
    <w:p w14:paraId="1E74F33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7A22818"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72E8E846" w14:textId="476BD653" w:rsidR="001F0793" w:rsidRDefault="00E53946">
      <w:pPr>
        <w:adjustRightInd w:val="0"/>
        <w:snapToGrid w:val="0"/>
        <w:spacing w:line="360" w:lineRule="auto"/>
        <w:ind w:firstLineChars="200" w:firstLine="480"/>
        <w:rPr>
          <w:rFonts w:ascii="宋体" w:hAnsi="宋体"/>
          <w:sz w:val="30"/>
          <w:szCs w:val="30"/>
        </w:rPr>
      </w:pPr>
      <w:r>
        <w:rPr>
          <w:rFonts w:ascii="宋体" w:hAnsi="宋体" w:cs="Arial" w:hint="eastAsia"/>
          <w:sz w:val="24"/>
        </w:rPr>
        <w:t>（四）本协议一式</w:t>
      </w:r>
      <w:r w:rsidR="00A1144E">
        <w:rPr>
          <w:rFonts w:ascii="宋体" w:hAnsi="宋体" w:cs="Arial" w:hint="eastAsia"/>
          <w:sz w:val="24"/>
        </w:rPr>
        <w:t>三</w:t>
      </w:r>
      <w:r>
        <w:rPr>
          <w:rFonts w:ascii="宋体" w:hAnsi="宋体" w:cs="Arial" w:hint="eastAsia"/>
          <w:sz w:val="24"/>
        </w:rPr>
        <w:t>份，协议双方各持</w:t>
      </w:r>
      <w:r w:rsidR="00A1144E">
        <w:rPr>
          <w:rFonts w:ascii="宋体" w:hAnsi="宋体" w:cs="Arial" w:hint="eastAsia"/>
          <w:sz w:val="24"/>
        </w:rPr>
        <w:t>一</w:t>
      </w:r>
      <w:r>
        <w:rPr>
          <w:rFonts w:ascii="宋体" w:hAnsi="宋体" w:cs="Arial" w:hint="eastAsia"/>
          <w:sz w:val="24"/>
        </w:rPr>
        <w:t>份，上报监管机构</w:t>
      </w:r>
      <w:r w:rsidR="00A1144E">
        <w:rPr>
          <w:rFonts w:ascii="宋体" w:hAnsi="宋体" w:cs="Arial" w:hint="eastAsia"/>
          <w:sz w:val="24"/>
        </w:rPr>
        <w:t>一</w:t>
      </w:r>
      <w:r>
        <w:rPr>
          <w:rFonts w:ascii="宋体" w:hAnsi="宋体" w:cs="Arial" w:hint="eastAsia"/>
          <w:sz w:val="24"/>
        </w:rPr>
        <w:t>份，每份具有同等的法律效力。</w:t>
      </w:r>
    </w:p>
    <w:p w14:paraId="6C23B12D" w14:textId="77777777" w:rsidR="001F0793" w:rsidRDefault="001F0793">
      <w:pPr>
        <w:adjustRightInd w:val="0"/>
        <w:snapToGrid w:val="0"/>
        <w:spacing w:line="360" w:lineRule="auto"/>
        <w:rPr>
          <w:rFonts w:ascii="宋体" w:hAnsi="宋体" w:cs="Arial"/>
          <w:sz w:val="24"/>
        </w:rPr>
      </w:pPr>
    </w:p>
    <w:p w14:paraId="3050ECFB" w14:textId="77777777" w:rsidR="001F0793" w:rsidRDefault="00E53946">
      <w:pPr>
        <w:pStyle w:val="2"/>
        <w:spacing w:line="360" w:lineRule="auto"/>
        <w:jc w:val="center"/>
        <w:rPr>
          <w:rFonts w:ascii="宋体" w:eastAsia="宋体" w:hAnsi="宋体"/>
          <w:sz w:val="30"/>
        </w:rPr>
      </w:pPr>
      <w:bookmarkStart w:id="107" w:name="_Toc124325904"/>
      <w:r>
        <w:rPr>
          <w:rFonts w:ascii="宋体" w:eastAsia="宋体" w:hAnsi="宋体" w:hint="eastAsia"/>
          <w:sz w:val="30"/>
        </w:rPr>
        <w:t>二十、其他事项</w:t>
      </w:r>
      <w:bookmarkEnd w:id="107"/>
    </w:p>
    <w:p w14:paraId="2BA026BC"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14:paraId="39FAD410"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66A63484" w14:textId="77777777" w:rsidR="001F0793" w:rsidRDefault="001F0793">
      <w:pPr>
        <w:adjustRightInd w:val="0"/>
        <w:snapToGrid w:val="0"/>
        <w:spacing w:line="360" w:lineRule="auto"/>
        <w:rPr>
          <w:rFonts w:ascii="宋体" w:hAnsi="宋体"/>
          <w:b/>
          <w:bCs/>
        </w:rPr>
      </w:pPr>
    </w:p>
    <w:p w14:paraId="11398978" w14:textId="77777777" w:rsidR="001F0793" w:rsidRDefault="00E53946">
      <w:pPr>
        <w:pStyle w:val="2"/>
        <w:spacing w:line="360" w:lineRule="auto"/>
        <w:jc w:val="center"/>
        <w:rPr>
          <w:rFonts w:ascii="宋体" w:eastAsia="宋体" w:hAnsi="宋体"/>
          <w:sz w:val="30"/>
        </w:rPr>
      </w:pPr>
      <w:bookmarkStart w:id="108" w:name="_Toc124325905"/>
      <w:r>
        <w:rPr>
          <w:rFonts w:ascii="宋体" w:eastAsia="宋体" w:hAnsi="宋体" w:hint="eastAsia"/>
          <w:sz w:val="30"/>
        </w:rPr>
        <w:lastRenderedPageBreak/>
        <w:t>二十一、托管协议的签订</w:t>
      </w:r>
      <w:bookmarkEnd w:id="108"/>
    </w:p>
    <w:p w14:paraId="675B6814" w14:textId="77777777" w:rsidR="001F0793" w:rsidRDefault="00E53946">
      <w:pPr>
        <w:adjustRightInd w:val="0"/>
        <w:snapToGrid w:val="0"/>
        <w:spacing w:line="360" w:lineRule="auto"/>
        <w:ind w:firstLineChars="200" w:firstLine="480"/>
        <w:rPr>
          <w:rFonts w:ascii="宋体" w:hAnsi="宋体" w:cs="Arial"/>
          <w:sz w:val="24"/>
        </w:rPr>
      </w:pPr>
      <w:r>
        <w:rPr>
          <w:rFonts w:ascii="宋体" w:hAnsi="宋体" w:cs="Arial" w:hint="eastAsia"/>
          <w:sz w:val="24"/>
        </w:rPr>
        <w:t>本协议双方法定代表人或授权代表签字或盖章并加盖双方公章或合同专用章，并列明签订地、签订日。</w:t>
      </w:r>
    </w:p>
    <w:p w14:paraId="40C86F82" w14:textId="77777777" w:rsidR="001F0793" w:rsidRDefault="001F0793">
      <w:pPr>
        <w:adjustRightInd w:val="0"/>
        <w:snapToGrid w:val="0"/>
        <w:spacing w:line="360" w:lineRule="auto"/>
        <w:ind w:firstLineChars="200" w:firstLine="480"/>
        <w:rPr>
          <w:rFonts w:ascii="宋体" w:hAnsi="宋体" w:cs="Arial"/>
          <w:sz w:val="24"/>
        </w:rPr>
        <w:sectPr w:rsidR="001F0793" w:rsidSect="00420C1B">
          <w:headerReference w:type="default" r:id="rId8"/>
          <w:footerReference w:type="default" r:id="rId9"/>
          <w:pgSz w:w="11906" w:h="16838"/>
          <w:pgMar w:top="1418" w:right="1701" w:bottom="1418" w:left="1701" w:header="851" w:footer="992" w:gutter="0"/>
          <w:pgNumType w:start="1"/>
          <w:cols w:space="720"/>
          <w:docGrid w:type="lines" w:linePitch="312"/>
        </w:sectPr>
      </w:pPr>
    </w:p>
    <w:p w14:paraId="646AB45A" w14:textId="52091829" w:rsidR="001F0793" w:rsidRDefault="00E53946">
      <w:pPr>
        <w:spacing w:line="360" w:lineRule="auto"/>
        <w:ind w:right="26"/>
        <w:rPr>
          <w:rFonts w:ascii="宋体" w:hAnsi="宋体"/>
          <w:sz w:val="24"/>
        </w:rPr>
      </w:pPr>
      <w:r>
        <w:rPr>
          <w:rFonts w:ascii="宋体" w:hAnsi="宋体" w:hint="eastAsia"/>
          <w:sz w:val="24"/>
        </w:rPr>
        <w:lastRenderedPageBreak/>
        <w:t>本页无正文，为《广发</w:t>
      </w:r>
      <w:r w:rsidR="006058E1">
        <w:rPr>
          <w:rFonts w:ascii="宋体" w:hAnsi="宋体" w:hint="eastAsia"/>
          <w:sz w:val="24"/>
        </w:rPr>
        <w:t>创业板指数增强型</w:t>
      </w:r>
      <w:r>
        <w:rPr>
          <w:rFonts w:ascii="宋体" w:hAnsi="宋体" w:hint="eastAsia"/>
          <w:sz w:val="24"/>
        </w:rPr>
        <w:t>证券投资基金托管协议》的签字盖章页。</w:t>
      </w:r>
    </w:p>
    <w:p w14:paraId="6C95D0A3" w14:textId="77777777" w:rsidR="001F0793" w:rsidRDefault="001F0793">
      <w:pPr>
        <w:spacing w:line="360" w:lineRule="auto"/>
        <w:rPr>
          <w:rFonts w:ascii="宋体" w:hAnsi="宋体"/>
          <w:sz w:val="24"/>
        </w:rPr>
      </w:pPr>
    </w:p>
    <w:p w14:paraId="4A71E54A" w14:textId="77777777" w:rsidR="001F0793" w:rsidRDefault="001F0793">
      <w:pPr>
        <w:spacing w:line="360" w:lineRule="auto"/>
        <w:rPr>
          <w:rFonts w:ascii="宋体" w:hAnsi="宋体"/>
          <w:sz w:val="24"/>
        </w:rPr>
      </w:pPr>
    </w:p>
    <w:p w14:paraId="0E762D44" w14:textId="77777777" w:rsidR="001F0793" w:rsidRDefault="001F0793">
      <w:pPr>
        <w:spacing w:line="360" w:lineRule="auto"/>
        <w:rPr>
          <w:rFonts w:ascii="宋体" w:hAnsi="宋体"/>
          <w:sz w:val="24"/>
        </w:rPr>
      </w:pPr>
    </w:p>
    <w:p w14:paraId="66B333F6" w14:textId="77777777" w:rsidR="001F0793" w:rsidRDefault="00E53946">
      <w:pPr>
        <w:spacing w:line="360" w:lineRule="auto"/>
        <w:ind w:right="26"/>
        <w:rPr>
          <w:rFonts w:ascii="宋体" w:hAnsi="宋体"/>
          <w:sz w:val="24"/>
        </w:rPr>
      </w:pPr>
      <w:r>
        <w:rPr>
          <w:rFonts w:ascii="宋体" w:hAnsi="宋体" w:hint="eastAsia"/>
          <w:sz w:val="24"/>
        </w:rPr>
        <w:t>基金管理人：广发基金管理有限公司（盖章）</w:t>
      </w:r>
    </w:p>
    <w:p w14:paraId="03DD4F4B" w14:textId="77777777" w:rsidR="001F0793" w:rsidRDefault="001F0793">
      <w:pPr>
        <w:spacing w:line="360" w:lineRule="auto"/>
        <w:ind w:right="26"/>
        <w:rPr>
          <w:rFonts w:ascii="宋体" w:hAnsi="宋体"/>
          <w:sz w:val="24"/>
        </w:rPr>
      </w:pPr>
    </w:p>
    <w:p w14:paraId="5C37AB70" w14:textId="77777777" w:rsidR="001F0793" w:rsidRDefault="001F0793">
      <w:pPr>
        <w:spacing w:line="360" w:lineRule="auto"/>
        <w:ind w:right="26"/>
        <w:rPr>
          <w:rFonts w:ascii="宋体" w:hAnsi="宋体"/>
          <w:sz w:val="24"/>
        </w:rPr>
      </w:pPr>
    </w:p>
    <w:p w14:paraId="5EB8D48F" w14:textId="77777777" w:rsidR="001F0793" w:rsidRDefault="001F0793">
      <w:pPr>
        <w:spacing w:line="360" w:lineRule="auto"/>
        <w:ind w:right="26"/>
        <w:rPr>
          <w:rFonts w:ascii="宋体" w:hAnsi="宋体"/>
          <w:sz w:val="24"/>
        </w:rPr>
      </w:pPr>
    </w:p>
    <w:p w14:paraId="73BF48DD" w14:textId="77777777" w:rsidR="001F0793" w:rsidRDefault="001F0793">
      <w:pPr>
        <w:spacing w:line="360" w:lineRule="auto"/>
        <w:ind w:right="26"/>
        <w:rPr>
          <w:rFonts w:ascii="宋体" w:hAnsi="宋体"/>
          <w:sz w:val="24"/>
        </w:rPr>
      </w:pPr>
    </w:p>
    <w:p w14:paraId="0C5B3B1A" w14:textId="77777777" w:rsidR="001F0793" w:rsidRDefault="00E53946">
      <w:pPr>
        <w:spacing w:line="360" w:lineRule="auto"/>
        <w:ind w:right="26"/>
        <w:rPr>
          <w:rFonts w:ascii="宋体" w:hAnsi="宋体"/>
          <w:sz w:val="24"/>
        </w:rPr>
      </w:pPr>
      <w:r>
        <w:rPr>
          <w:rFonts w:ascii="宋体" w:hAnsi="宋体" w:hint="eastAsia"/>
          <w:sz w:val="24"/>
        </w:rPr>
        <w:t xml:space="preserve">法定代表人或授权代表：                   </w:t>
      </w:r>
    </w:p>
    <w:p w14:paraId="22F70ED1" w14:textId="77777777" w:rsidR="001F0793" w:rsidRDefault="001F0793">
      <w:pPr>
        <w:spacing w:line="360" w:lineRule="auto"/>
        <w:ind w:right="26"/>
        <w:rPr>
          <w:rFonts w:ascii="宋体" w:hAnsi="宋体"/>
          <w:sz w:val="24"/>
        </w:rPr>
      </w:pPr>
    </w:p>
    <w:p w14:paraId="7B002E81" w14:textId="77777777" w:rsidR="001F0793" w:rsidRDefault="001F0793">
      <w:pPr>
        <w:spacing w:line="360" w:lineRule="auto"/>
        <w:ind w:right="26"/>
        <w:rPr>
          <w:rFonts w:ascii="宋体" w:hAnsi="宋体"/>
          <w:sz w:val="24"/>
        </w:rPr>
      </w:pPr>
    </w:p>
    <w:p w14:paraId="51050F1C" w14:textId="77777777" w:rsidR="001F0793" w:rsidRDefault="001F0793">
      <w:pPr>
        <w:spacing w:line="360" w:lineRule="auto"/>
        <w:ind w:right="26"/>
        <w:rPr>
          <w:rFonts w:ascii="宋体" w:hAnsi="宋体"/>
          <w:sz w:val="24"/>
        </w:rPr>
      </w:pPr>
    </w:p>
    <w:p w14:paraId="4A2195F0" w14:textId="77777777" w:rsidR="001F0793" w:rsidRDefault="001F0793">
      <w:pPr>
        <w:spacing w:line="360" w:lineRule="auto"/>
        <w:ind w:right="26"/>
        <w:rPr>
          <w:rFonts w:ascii="宋体" w:hAnsi="宋体"/>
          <w:sz w:val="24"/>
        </w:rPr>
      </w:pPr>
    </w:p>
    <w:p w14:paraId="05820031" w14:textId="77777777" w:rsidR="001F0793" w:rsidRDefault="001F0793">
      <w:pPr>
        <w:spacing w:line="360" w:lineRule="auto"/>
        <w:ind w:right="26"/>
        <w:rPr>
          <w:rFonts w:ascii="宋体" w:hAnsi="宋体"/>
          <w:sz w:val="24"/>
        </w:rPr>
      </w:pPr>
    </w:p>
    <w:p w14:paraId="674E0FC5" w14:textId="77777777" w:rsidR="001F0793" w:rsidRDefault="00E53946">
      <w:pPr>
        <w:spacing w:line="360" w:lineRule="auto"/>
        <w:ind w:right="26"/>
        <w:rPr>
          <w:rFonts w:ascii="宋体" w:hAnsi="宋体"/>
          <w:sz w:val="24"/>
        </w:rPr>
      </w:pPr>
      <w:r>
        <w:rPr>
          <w:rFonts w:ascii="宋体" w:hAnsi="宋体" w:hint="eastAsia"/>
          <w:sz w:val="24"/>
        </w:rPr>
        <w:t>基金托管人：中国建设银行股份有限公司（盖章）</w:t>
      </w:r>
    </w:p>
    <w:p w14:paraId="38BFECB5" w14:textId="77777777" w:rsidR="001F0793" w:rsidRDefault="001F0793">
      <w:pPr>
        <w:spacing w:line="360" w:lineRule="auto"/>
        <w:ind w:right="26"/>
        <w:rPr>
          <w:rFonts w:ascii="宋体" w:hAnsi="宋体"/>
          <w:sz w:val="24"/>
        </w:rPr>
      </w:pPr>
    </w:p>
    <w:p w14:paraId="35E8A410" w14:textId="77777777" w:rsidR="001F0793" w:rsidRDefault="001F0793">
      <w:pPr>
        <w:spacing w:line="360" w:lineRule="auto"/>
        <w:ind w:right="26"/>
        <w:rPr>
          <w:rFonts w:ascii="宋体" w:hAnsi="宋体"/>
          <w:sz w:val="24"/>
        </w:rPr>
      </w:pPr>
    </w:p>
    <w:p w14:paraId="38EAB827" w14:textId="77777777" w:rsidR="001F0793" w:rsidRDefault="001F0793">
      <w:pPr>
        <w:spacing w:line="360" w:lineRule="auto"/>
        <w:ind w:right="26"/>
        <w:rPr>
          <w:rFonts w:ascii="宋体" w:hAnsi="宋体"/>
          <w:sz w:val="24"/>
        </w:rPr>
      </w:pPr>
    </w:p>
    <w:p w14:paraId="1FA78ECE" w14:textId="77777777" w:rsidR="001F0793" w:rsidRDefault="001F0793">
      <w:pPr>
        <w:spacing w:line="360" w:lineRule="auto"/>
        <w:ind w:right="26"/>
        <w:rPr>
          <w:rFonts w:ascii="宋体" w:hAnsi="宋体"/>
          <w:sz w:val="24"/>
        </w:rPr>
      </w:pPr>
    </w:p>
    <w:p w14:paraId="7A1E381E" w14:textId="77777777" w:rsidR="001F0793" w:rsidRDefault="00E53946">
      <w:pPr>
        <w:spacing w:line="360" w:lineRule="auto"/>
        <w:ind w:right="26"/>
        <w:rPr>
          <w:rFonts w:ascii="宋体" w:hAnsi="宋体"/>
          <w:sz w:val="24"/>
        </w:rPr>
      </w:pPr>
      <w:r>
        <w:rPr>
          <w:rFonts w:ascii="宋体" w:hAnsi="宋体" w:hint="eastAsia"/>
          <w:sz w:val="24"/>
        </w:rPr>
        <w:t xml:space="preserve">法定代表人或授权代表：                   </w:t>
      </w:r>
    </w:p>
    <w:p w14:paraId="745BDB72" w14:textId="77777777" w:rsidR="001F0793" w:rsidRDefault="001F0793">
      <w:pPr>
        <w:spacing w:line="360" w:lineRule="auto"/>
        <w:ind w:right="26"/>
        <w:rPr>
          <w:rFonts w:ascii="宋体" w:hAnsi="宋体"/>
          <w:b/>
          <w:sz w:val="24"/>
          <w:szCs w:val="28"/>
        </w:rPr>
      </w:pPr>
    </w:p>
    <w:p w14:paraId="02FE8AB2" w14:textId="77777777" w:rsidR="001F0793" w:rsidRDefault="001F0793">
      <w:pPr>
        <w:spacing w:line="360" w:lineRule="auto"/>
        <w:ind w:right="26"/>
        <w:rPr>
          <w:rFonts w:ascii="宋体" w:hAnsi="宋体"/>
          <w:b/>
          <w:sz w:val="24"/>
          <w:szCs w:val="28"/>
        </w:rPr>
      </w:pPr>
    </w:p>
    <w:p w14:paraId="7A1B7FE4" w14:textId="77777777" w:rsidR="001F0793" w:rsidRDefault="001F0793">
      <w:pPr>
        <w:spacing w:line="360" w:lineRule="auto"/>
        <w:ind w:right="26"/>
        <w:rPr>
          <w:rFonts w:ascii="宋体" w:hAnsi="宋体"/>
          <w:b/>
          <w:sz w:val="24"/>
          <w:szCs w:val="28"/>
        </w:rPr>
      </w:pPr>
    </w:p>
    <w:p w14:paraId="0C0634A3" w14:textId="77777777" w:rsidR="001F0793" w:rsidRDefault="00E53946">
      <w:pPr>
        <w:spacing w:line="360" w:lineRule="auto"/>
        <w:ind w:right="26"/>
        <w:rPr>
          <w:rFonts w:ascii="宋体" w:hAnsi="宋体"/>
          <w:b/>
          <w:sz w:val="24"/>
          <w:szCs w:val="28"/>
        </w:rPr>
      </w:pPr>
      <w:r>
        <w:rPr>
          <w:rFonts w:ascii="宋体" w:hAnsi="宋体" w:hint="eastAsia"/>
          <w:b/>
          <w:sz w:val="24"/>
          <w:szCs w:val="28"/>
        </w:rPr>
        <w:t>签订地点：北京</w:t>
      </w:r>
    </w:p>
    <w:p w14:paraId="651DFD7F" w14:textId="73859FD7" w:rsidR="001F0793" w:rsidRDefault="00E53946">
      <w:pPr>
        <w:spacing w:line="360" w:lineRule="auto"/>
        <w:ind w:right="26"/>
        <w:rPr>
          <w:rFonts w:ascii="宋体" w:hAnsi="宋体"/>
          <w:b/>
          <w:sz w:val="24"/>
          <w:szCs w:val="28"/>
        </w:rPr>
      </w:pPr>
      <w:r>
        <w:rPr>
          <w:rFonts w:ascii="宋体" w:hAnsi="宋体" w:hint="eastAsia"/>
          <w:b/>
          <w:sz w:val="24"/>
          <w:szCs w:val="28"/>
        </w:rPr>
        <w:t>签 订 日：</w:t>
      </w:r>
      <w:r w:rsidR="0006200B">
        <w:rPr>
          <w:rFonts w:ascii="宋体" w:hAnsi="宋体" w:hint="eastAsia"/>
          <w:b/>
          <w:sz w:val="24"/>
          <w:szCs w:val="28"/>
        </w:rPr>
        <w:t xml:space="preserve"> </w:t>
      </w:r>
      <w:r w:rsidR="0006200B">
        <w:rPr>
          <w:rFonts w:ascii="宋体" w:hAnsi="宋体"/>
          <w:b/>
          <w:sz w:val="24"/>
          <w:szCs w:val="28"/>
        </w:rPr>
        <w:t xml:space="preserve">   </w:t>
      </w:r>
      <w:bookmarkStart w:id="109" w:name="_GoBack"/>
      <w:bookmarkEnd w:id="109"/>
      <w:r>
        <w:rPr>
          <w:rFonts w:ascii="宋体" w:hAnsi="宋体" w:cs="宋体" w:hint="eastAsia"/>
          <w:b/>
          <w:sz w:val="24"/>
          <w:szCs w:val="28"/>
        </w:rPr>
        <w:t xml:space="preserve"> </w:t>
      </w:r>
      <w:r>
        <w:rPr>
          <w:rFonts w:ascii="宋体" w:hAnsi="宋体" w:hint="eastAsia"/>
          <w:b/>
          <w:sz w:val="24"/>
          <w:szCs w:val="28"/>
        </w:rPr>
        <w:t>年</w:t>
      </w:r>
      <w:r>
        <w:rPr>
          <w:rFonts w:ascii="宋体" w:hAnsi="宋体" w:cs="宋体" w:hint="eastAsia"/>
          <w:b/>
          <w:sz w:val="24"/>
          <w:szCs w:val="28"/>
        </w:rPr>
        <w:t xml:space="preserve">   </w:t>
      </w:r>
      <w:r>
        <w:rPr>
          <w:rFonts w:ascii="宋体" w:hAnsi="宋体" w:hint="eastAsia"/>
          <w:b/>
          <w:sz w:val="24"/>
          <w:szCs w:val="28"/>
        </w:rPr>
        <w:t>月</w:t>
      </w:r>
      <w:r>
        <w:rPr>
          <w:rFonts w:ascii="宋体" w:hAnsi="宋体" w:cs="宋体" w:hint="eastAsia"/>
          <w:b/>
          <w:sz w:val="24"/>
          <w:szCs w:val="28"/>
        </w:rPr>
        <w:t xml:space="preserve">   </w:t>
      </w:r>
      <w:r>
        <w:rPr>
          <w:rFonts w:ascii="宋体" w:hAnsi="宋体" w:hint="eastAsia"/>
          <w:b/>
          <w:sz w:val="24"/>
          <w:szCs w:val="28"/>
        </w:rPr>
        <w:t>日</w:t>
      </w:r>
    </w:p>
    <w:p w14:paraId="4A92D863" w14:textId="77777777" w:rsidR="001F0793" w:rsidRDefault="001F0793">
      <w:pPr>
        <w:adjustRightInd w:val="0"/>
        <w:snapToGrid w:val="0"/>
        <w:spacing w:line="360" w:lineRule="auto"/>
        <w:rPr>
          <w:rFonts w:ascii="宋体" w:hAnsi="宋体" w:cs="Arial"/>
          <w:sz w:val="24"/>
        </w:rPr>
      </w:pPr>
    </w:p>
    <w:p w14:paraId="7E843357" w14:textId="77777777" w:rsidR="001F0793" w:rsidRDefault="001F0793">
      <w:pPr>
        <w:spacing w:line="360" w:lineRule="auto"/>
        <w:rPr>
          <w:rFonts w:ascii="宋体" w:hAnsi="宋体"/>
        </w:rPr>
      </w:pPr>
    </w:p>
    <w:sectPr w:rsidR="001F0793">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A7D45" w14:textId="77777777" w:rsidR="00203813" w:rsidRDefault="00203813">
      <w:r>
        <w:separator/>
      </w:r>
    </w:p>
  </w:endnote>
  <w:endnote w:type="continuationSeparator" w:id="0">
    <w:p w14:paraId="136E6C31" w14:textId="77777777" w:rsidR="00203813" w:rsidRDefault="0020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panose1 w:val="02000000000000000000"/>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84BE" w14:textId="77777777" w:rsidR="00ED7AE2" w:rsidRDefault="00ED7AE2">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42</w:t>
    </w:r>
    <w:r>
      <w:rPr>
        <w:rStyle w:val="af"/>
      </w:rPr>
      <w:fldChar w:fldCharType="end"/>
    </w:r>
  </w:p>
  <w:p w14:paraId="44FC316F" w14:textId="77777777" w:rsidR="00ED7AE2" w:rsidRDefault="00ED7A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846846"/>
      <w:docPartObj>
        <w:docPartGallery w:val="Page Numbers (Bottom of Page)"/>
        <w:docPartUnique/>
      </w:docPartObj>
    </w:sdtPr>
    <w:sdtEndPr/>
    <w:sdtContent>
      <w:p w14:paraId="5E8D6E0D" w14:textId="16D4A343" w:rsidR="00420C1B" w:rsidRDefault="00420C1B">
        <w:pPr>
          <w:pStyle w:val="a8"/>
          <w:jc w:val="center"/>
        </w:pPr>
        <w:r>
          <w:fldChar w:fldCharType="begin"/>
        </w:r>
        <w:r>
          <w:instrText>PAGE   \* MERGEFORMAT</w:instrText>
        </w:r>
        <w:r>
          <w:fldChar w:fldCharType="separate"/>
        </w:r>
        <w:r w:rsidR="0006200B" w:rsidRPr="0006200B">
          <w:rPr>
            <w:noProof/>
            <w:lang w:val="zh-CN"/>
          </w:rPr>
          <w:t>39</w:t>
        </w:r>
        <w:r>
          <w:fldChar w:fldCharType="end"/>
        </w:r>
      </w:p>
    </w:sdtContent>
  </w:sdt>
  <w:p w14:paraId="60D589CD" w14:textId="77777777" w:rsidR="00420C1B" w:rsidRDefault="00420C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3EB4" w14:textId="77777777" w:rsidR="00ED7AE2" w:rsidRDefault="00ED7A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A486" w14:textId="77777777" w:rsidR="00203813" w:rsidRDefault="00203813">
      <w:r>
        <w:separator/>
      </w:r>
    </w:p>
  </w:footnote>
  <w:footnote w:type="continuationSeparator" w:id="0">
    <w:p w14:paraId="4EC35EA1" w14:textId="77777777" w:rsidR="00203813" w:rsidRDefault="0020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CA81" w14:textId="41F0B8FB" w:rsidR="00ED7AE2" w:rsidRDefault="00ED7AE2">
    <w:pPr>
      <w:pStyle w:val="aa"/>
      <w:jc w:val="right"/>
    </w:pP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96C7" w14:textId="4AF55817" w:rsidR="00ED7AE2" w:rsidRDefault="00ED7AE2">
    <w:pPr>
      <w:pStyle w:val="aa"/>
      <w:jc w:val="right"/>
    </w:pP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7F"/>
    <w:rsid w:val="000024F9"/>
    <w:rsid w:val="00025EBB"/>
    <w:rsid w:val="000303E0"/>
    <w:rsid w:val="00033697"/>
    <w:rsid w:val="00040F5C"/>
    <w:rsid w:val="00043538"/>
    <w:rsid w:val="00052DD1"/>
    <w:rsid w:val="00055B8E"/>
    <w:rsid w:val="0006200B"/>
    <w:rsid w:val="000662BB"/>
    <w:rsid w:val="000734C2"/>
    <w:rsid w:val="000836E4"/>
    <w:rsid w:val="000841AB"/>
    <w:rsid w:val="00085734"/>
    <w:rsid w:val="0009125B"/>
    <w:rsid w:val="00092B02"/>
    <w:rsid w:val="00092D0E"/>
    <w:rsid w:val="000956F8"/>
    <w:rsid w:val="000A0BA6"/>
    <w:rsid w:val="000A0DC9"/>
    <w:rsid w:val="000A441C"/>
    <w:rsid w:val="000A6320"/>
    <w:rsid w:val="000A6C25"/>
    <w:rsid w:val="000B2CE6"/>
    <w:rsid w:val="000B6015"/>
    <w:rsid w:val="000B6634"/>
    <w:rsid w:val="000B6BF5"/>
    <w:rsid w:val="000C0991"/>
    <w:rsid w:val="000C1DB4"/>
    <w:rsid w:val="000D4B45"/>
    <w:rsid w:val="000F0982"/>
    <w:rsid w:val="000F5ED3"/>
    <w:rsid w:val="00100B98"/>
    <w:rsid w:val="001016BC"/>
    <w:rsid w:val="0010767C"/>
    <w:rsid w:val="001125C9"/>
    <w:rsid w:val="00132C6D"/>
    <w:rsid w:val="00135594"/>
    <w:rsid w:val="0014099C"/>
    <w:rsid w:val="0015074B"/>
    <w:rsid w:val="0018537F"/>
    <w:rsid w:val="001940A0"/>
    <w:rsid w:val="00197230"/>
    <w:rsid w:val="001A3B29"/>
    <w:rsid w:val="001A49E4"/>
    <w:rsid w:val="001A530D"/>
    <w:rsid w:val="001C05A5"/>
    <w:rsid w:val="001C7D61"/>
    <w:rsid w:val="001D76FC"/>
    <w:rsid w:val="001F0793"/>
    <w:rsid w:val="002003A2"/>
    <w:rsid w:val="002034B0"/>
    <w:rsid w:val="00203813"/>
    <w:rsid w:val="00212970"/>
    <w:rsid w:val="002173F8"/>
    <w:rsid w:val="00227208"/>
    <w:rsid w:val="00230FA1"/>
    <w:rsid w:val="00232A1C"/>
    <w:rsid w:val="002358C1"/>
    <w:rsid w:val="00251A06"/>
    <w:rsid w:val="002641D1"/>
    <w:rsid w:val="002675F3"/>
    <w:rsid w:val="002733AC"/>
    <w:rsid w:val="00273960"/>
    <w:rsid w:val="00274EA9"/>
    <w:rsid w:val="0028148E"/>
    <w:rsid w:val="002825A4"/>
    <w:rsid w:val="0028293D"/>
    <w:rsid w:val="00292CD4"/>
    <w:rsid w:val="002A0A0C"/>
    <w:rsid w:val="002B1089"/>
    <w:rsid w:val="002B4247"/>
    <w:rsid w:val="002C0D68"/>
    <w:rsid w:val="002C49A9"/>
    <w:rsid w:val="002D5DBF"/>
    <w:rsid w:val="002D640A"/>
    <w:rsid w:val="00303FBE"/>
    <w:rsid w:val="00325859"/>
    <w:rsid w:val="00361048"/>
    <w:rsid w:val="003611B9"/>
    <w:rsid w:val="00363BA7"/>
    <w:rsid w:val="003751D1"/>
    <w:rsid w:val="00383FBF"/>
    <w:rsid w:val="0039110D"/>
    <w:rsid w:val="003946DD"/>
    <w:rsid w:val="003A4EEC"/>
    <w:rsid w:val="003B1C14"/>
    <w:rsid w:val="003B46F9"/>
    <w:rsid w:val="003B7E82"/>
    <w:rsid w:val="003D29FD"/>
    <w:rsid w:val="003E1E8E"/>
    <w:rsid w:val="003F0D6B"/>
    <w:rsid w:val="00401831"/>
    <w:rsid w:val="004045F9"/>
    <w:rsid w:val="004070BF"/>
    <w:rsid w:val="004103A2"/>
    <w:rsid w:val="00412734"/>
    <w:rsid w:val="00415F65"/>
    <w:rsid w:val="00420C1B"/>
    <w:rsid w:val="00433C78"/>
    <w:rsid w:val="0043423D"/>
    <w:rsid w:val="004404ED"/>
    <w:rsid w:val="00450BD6"/>
    <w:rsid w:val="004569BE"/>
    <w:rsid w:val="004606C9"/>
    <w:rsid w:val="00465034"/>
    <w:rsid w:val="0046683C"/>
    <w:rsid w:val="004675E8"/>
    <w:rsid w:val="00470D80"/>
    <w:rsid w:val="00472D5F"/>
    <w:rsid w:val="00474F93"/>
    <w:rsid w:val="0047762F"/>
    <w:rsid w:val="004820FE"/>
    <w:rsid w:val="004A1E71"/>
    <w:rsid w:val="004A2465"/>
    <w:rsid w:val="004A4872"/>
    <w:rsid w:val="004A6368"/>
    <w:rsid w:val="004B3796"/>
    <w:rsid w:val="004C1330"/>
    <w:rsid w:val="004C19B4"/>
    <w:rsid w:val="004C1CF8"/>
    <w:rsid w:val="004D20B1"/>
    <w:rsid w:val="004E101D"/>
    <w:rsid w:val="004E25EB"/>
    <w:rsid w:val="004E52EF"/>
    <w:rsid w:val="004E6F8A"/>
    <w:rsid w:val="0050027A"/>
    <w:rsid w:val="00501CF4"/>
    <w:rsid w:val="005050A3"/>
    <w:rsid w:val="005050BE"/>
    <w:rsid w:val="0050594B"/>
    <w:rsid w:val="00510EBA"/>
    <w:rsid w:val="00542BD6"/>
    <w:rsid w:val="0054440A"/>
    <w:rsid w:val="005500B0"/>
    <w:rsid w:val="00580061"/>
    <w:rsid w:val="00591EB4"/>
    <w:rsid w:val="00593605"/>
    <w:rsid w:val="0059405A"/>
    <w:rsid w:val="005A2446"/>
    <w:rsid w:val="005B7AA2"/>
    <w:rsid w:val="005C606F"/>
    <w:rsid w:val="005D129B"/>
    <w:rsid w:val="005D1CF0"/>
    <w:rsid w:val="005D2018"/>
    <w:rsid w:val="005D6A9F"/>
    <w:rsid w:val="005D71F6"/>
    <w:rsid w:val="005E17DA"/>
    <w:rsid w:val="005E33FE"/>
    <w:rsid w:val="005E654C"/>
    <w:rsid w:val="005E7D65"/>
    <w:rsid w:val="005F3A20"/>
    <w:rsid w:val="005F4C60"/>
    <w:rsid w:val="0060300C"/>
    <w:rsid w:val="006058E1"/>
    <w:rsid w:val="006126F0"/>
    <w:rsid w:val="00614F24"/>
    <w:rsid w:val="00616CEF"/>
    <w:rsid w:val="006246F3"/>
    <w:rsid w:val="00626EC3"/>
    <w:rsid w:val="00634D37"/>
    <w:rsid w:val="00634F7C"/>
    <w:rsid w:val="0063571B"/>
    <w:rsid w:val="006358B1"/>
    <w:rsid w:val="006414B2"/>
    <w:rsid w:val="00642A8A"/>
    <w:rsid w:val="00645DC7"/>
    <w:rsid w:val="00654841"/>
    <w:rsid w:val="0065627F"/>
    <w:rsid w:val="00661CA3"/>
    <w:rsid w:val="00666930"/>
    <w:rsid w:val="00676E2E"/>
    <w:rsid w:val="0068629F"/>
    <w:rsid w:val="00687CD1"/>
    <w:rsid w:val="00691732"/>
    <w:rsid w:val="006A5F59"/>
    <w:rsid w:val="006B13D5"/>
    <w:rsid w:val="006B4273"/>
    <w:rsid w:val="006D0EA5"/>
    <w:rsid w:val="006D4447"/>
    <w:rsid w:val="006E5EFC"/>
    <w:rsid w:val="006E7C25"/>
    <w:rsid w:val="006F779C"/>
    <w:rsid w:val="00703887"/>
    <w:rsid w:val="0071005F"/>
    <w:rsid w:val="00710218"/>
    <w:rsid w:val="00710D50"/>
    <w:rsid w:val="0072261C"/>
    <w:rsid w:val="00726310"/>
    <w:rsid w:val="00734FDC"/>
    <w:rsid w:val="0073607B"/>
    <w:rsid w:val="0074065C"/>
    <w:rsid w:val="007523C4"/>
    <w:rsid w:val="0075591A"/>
    <w:rsid w:val="00755C13"/>
    <w:rsid w:val="00765ED3"/>
    <w:rsid w:val="007721C3"/>
    <w:rsid w:val="00774793"/>
    <w:rsid w:val="007748AD"/>
    <w:rsid w:val="00775431"/>
    <w:rsid w:val="00775F3A"/>
    <w:rsid w:val="0078544F"/>
    <w:rsid w:val="00795194"/>
    <w:rsid w:val="00796D6A"/>
    <w:rsid w:val="007A5C83"/>
    <w:rsid w:val="007C268E"/>
    <w:rsid w:val="007D6157"/>
    <w:rsid w:val="007F3D68"/>
    <w:rsid w:val="007F619B"/>
    <w:rsid w:val="007F62F9"/>
    <w:rsid w:val="0080732A"/>
    <w:rsid w:val="008121F7"/>
    <w:rsid w:val="00814A7F"/>
    <w:rsid w:val="00816B6A"/>
    <w:rsid w:val="00820193"/>
    <w:rsid w:val="00820591"/>
    <w:rsid w:val="008236A5"/>
    <w:rsid w:val="0083046C"/>
    <w:rsid w:val="008350E5"/>
    <w:rsid w:val="00837402"/>
    <w:rsid w:val="0084553F"/>
    <w:rsid w:val="0084614A"/>
    <w:rsid w:val="00847DD3"/>
    <w:rsid w:val="00850426"/>
    <w:rsid w:val="00852205"/>
    <w:rsid w:val="008547B4"/>
    <w:rsid w:val="0085689A"/>
    <w:rsid w:val="008657D9"/>
    <w:rsid w:val="008675B8"/>
    <w:rsid w:val="0087125E"/>
    <w:rsid w:val="00872089"/>
    <w:rsid w:val="00875BA4"/>
    <w:rsid w:val="008830A6"/>
    <w:rsid w:val="008A1CEC"/>
    <w:rsid w:val="008B112F"/>
    <w:rsid w:val="008C0954"/>
    <w:rsid w:val="008C0AC9"/>
    <w:rsid w:val="008C288B"/>
    <w:rsid w:val="008E0BAD"/>
    <w:rsid w:val="008E2099"/>
    <w:rsid w:val="008F08D7"/>
    <w:rsid w:val="008F23A8"/>
    <w:rsid w:val="00906B21"/>
    <w:rsid w:val="00912F8C"/>
    <w:rsid w:val="0091304D"/>
    <w:rsid w:val="0091596D"/>
    <w:rsid w:val="009204E9"/>
    <w:rsid w:val="00927782"/>
    <w:rsid w:val="00934AF7"/>
    <w:rsid w:val="00935217"/>
    <w:rsid w:val="0093578F"/>
    <w:rsid w:val="00940507"/>
    <w:rsid w:val="009428F5"/>
    <w:rsid w:val="00953FA5"/>
    <w:rsid w:val="0096106A"/>
    <w:rsid w:val="00976406"/>
    <w:rsid w:val="009768C4"/>
    <w:rsid w:val="00981311"/>
    <w:rsid w:val="00984D18"/>
    <w:rsid w:val="00991CCD"/>
    <w:rsid w:val="009A0D80"/>
    <w:rsid w:val="009A47DD"/>
    <w:rsid w:val="009B16A7"/>
    <w:rsid w:val="009C12A1"/>
    <w:rsid w:val="009C6E25"/>
    <w:rsid w:val="009D60E2"/>
    <w:rsid w:val="009D76C4"/>
    <w:rsid w:val="009E2CC7"/>
    <w:rsid w:val="009E5BEA"/>
    <w:rsid w:val="009F2F01"/>
    <w:rsid w:val="009F384A"/>
    <w:rsid w:val="009F59DC"/>
    <w:rsid w:val="00A018D7"/>
    <w:rsid w:val="00A02B86"/>
    <w:rsid w:val="00A1144E"/>
    <w:rsid w:val="00A123EA"/>
    <w:rsid w:val="00A15A53"/>
    <w:rsid w:val="00A177E3"/>
    <w:rsid w:val="00A21157"/>
    <w:rsid w:val="00A2272D"/>
    <w:rsid w:val="00A24D34"/>
    <w:rsid w:val="00A24F7D"/>
    <w:rsid w:val="00A252B9"/>
    <w:rsid w:val="00A262F2"/>
    <w:rsid w:val="00A32818"/>
    <w:rsid w:val="00A36003"/>
    <w:rsid w:val="00A6029A"/>
    <w:rsid w:val="00A606FD"/>
    <w:rsid w:val="00A72217"/>
    <w:rsid w:val="00A7255A"/>
    <w:rsid w:val="00A74063"/>
    <w:rsid w:val="00A74228"/>
    <w:rsid w:val="00A82D35"/>
    <w:rsid w:val="00A83C38"/>
    <w:rsid w:val="00A843F4"/>
    <w:rsid w:val="00A8441F"/>
    <w:rsid w:val="00A875F7"/>
    <w:rsid w:val="00A936A1"/>
    <w:rsid w:val="00A94F1F"/>
    <w:rsid w:val="00A965E8"/>
    <w:rsid w:val="00A976C3"/>
    <w:rsid w:val="00AB1BE8"/>
    <w:rsid w:val="00AB22F2"/>
    <w:rsid w:val="00AB23A9"/>
    <w:rsid w:val="00AB29B7"/>
    <w:rsid w:val="00AC2F84"/>
    <w:rsid w:val="00AD1C13"/>
    <w:rsid w:val="00AD21CA"/>
    <w:rsid w:val="00AF3F5A"/>
    <w:rsid w:val="00AF40D0"/>
    <w:rsid w:val="00AF56E4"/>
    <w:rsid w:val="00B069F6"/>
    <w:rsid w:val="00B11611"/>
    <w:rsid w:val="00B14F0A"/>
    <w:rsid w:val="00B23F38"/>
    <w:rsid w:val="00B2400F"/>
    <w:rsid w:val="00B25A79"/>
    <w:rsid w:val="00B34E98"/>
    <w:rsid w:val="00B34FD6"/>
    <w:rsid w:val="00B51686"/>
    <w:rsid w:val="00B52A7B"/>
    <w:rsid w:val="00B53BDB"/>
    <w:rsid w:val="00B629DF"/>
    <w:rsid w:val="00B649FE"/>
    <w:rsid w:val="00B6684B"/>
    <w:rsid w:val="00B778DE"/>
    <w:rsid w:val="00B77E96"/>
    <w:rsid w:val="00B8225A"/>
    <w:rsid w:val="00B84672"/>
    <w:rsid w:val="00B876E3"/>
    <w:rsid w:val="00B9408B"/>
    <w:rsid w:val="00BA24F2"/>
    <w:rsid w:val="00BA27AF"/>
    <w:rsid w:val="00BA6047"/>
    <w:rsid w:val="00BB1209"/>
    <w:rsid w:val="00BC408F"/>
    <w:rsid w:val="00BC43DE"/>
    <w:rsid w:val="00BD039F"/>
    <w:rsid w:val="00BD11C6"/>
    <w:rsid w:val="00BD1268"/>
    <w:rsid w:val="00BD587D"/>
    <w:rsid w:val="00BD6BC7"/>
    <w:rsid w:val="00BE27DD"/>
    <w:rsid w:val="00BE3E42"/>
    <w:rsid w:val="00BF0ADF"/>
    <w:rsid w:val="00BF1608"/>
    <w:rsid w:val="00BF7A74"/>
    <w:rsid w:val="00C11B14"/>
    <w:rsid w:val="00C127A4"/>
    <w:rsid w:val="00C166BF"/>
    <w:rsid w:val="00C16971"/>
    <w:rsid w:val="00C25C70"/>
    <w:rsid w:val="00C26708"/>
    <w:rsid w:val="00C5268F"/>
    <w:rsid w:val="00C52B29"/>
    <w:rsid w:val="00C56EEA"/>
    <w:rsid w:val="00C6220C"/>
    <w:rsid w:val="00C63E51"/>
    <w:rsid w:val="00C73F74"/>
    <w:rsid w:val="00C803D7"/>
    <w:rsid w:val="00C8374D"/>
    <w:rsid w:val="00C86A79"/>
    <w:rsid w:val="00C86C7F"/>
    <w:rsid w:val="00C8703E"/>
    <w:rsid w:val="00C90423"/>
    <w:rsid w:val="00C914E3"/>
    <w:rsid w:val="00C92E3C"/>
    <w:rsid w:val="00CC046F"/>
    <w:rsid w:val="00CC3980"/>
    <w:rsid w:val="00CC4D9B"/>
    <w:rsid w:val="00CD6844"/>
    <w:rsid w:val="00CD75A2"/>
    <w:rsid w:val="00CE1EC6"/>
    <w:rsid w:val="00CF170C"/>
    <w:rsid w:val="00CF6ACE"/>
    <w:rsid w:val="00D00251"/>
    <w:rsid w:val="00D068F3"/>
    <w:rsid w:val="00D06C7F"/>
    <w:rsid w:val="00D113D5"/>
    <w:rsid w:val="00D1676A"/>
    <w:rsid w:val="00D25BFB"/>
    <w:rsid w:val="00D318C1"/>
    <w:rsid w:val="00D33B26"/>
    <w:rsid w:val="00D33B2F"/>
    <w:rsid w:val="00D37EB8"/>
    <w:rsid w:val="00D5398D"/>
    <w:rsid w:val="00D53A68"/>
    <w:rsid w:val="00D561E3"/>
    <w:rsid w:val="00D57B75"/>
    <w:rsid w:val="00D64C37"/>
    <w:rsid w:val="00D654BA"/>
    <w:rsid w:val="00D65C0B"/>
    <w:rsid w:val="00D83EAA"/>
    <w:rsid w:val="00D86008"/>
    <w:rsid w:val="00D87A49"/>
    <w:rsid w:val="00D91570"/>
    <w:rsid w:val="00D92327"/>
    <w:rsid w:val="00D92AF5"/>
    <w:rsid w:val="00D94781"/>
    <w:rsid w:val="00D976A5"/>
    <w:rsid w:val="00D97B38"/>
    <w:rsid w:val="00DA05A2"/>
    <w:rsid w:val="00DA0D37"/>
    <w:rsid w:val="00DA356F"/>
    <w:rsid w:val="00DA48BB"/>
    <w:rsid w:val="00DB1C9C"/>
    <w:rsid w:val="00DB37BB"/>
    <w:rsid w:val="00DC34F5"/>
    <w:rsid w:val="00DD4E54"/>
    <w:rsid w:val="00DD6CE1"/>
    <w:rsid w:val="00DE0E6F"/>
    <w:rsid w:val="00DF2E52"/>
    <w:rsid w:val="00DF3A43"/>
    <w:rsid w:val="00DF68BF"/>
    <w:rsid w:val="00E05376"/>
    <w:rsid w:val="00E05F79"/>
    <w:rsid w:val="00E10C87"/>
    <w:rsid w:val="00E17D3C"/>
    <w:rsid w:val="00E26940"/>
    <w:rsid w:val="00E2728F"/>
    <w:rsid w:val="00E50B4E"/>
    <w:rsid w:val="00E538B1"/>
    <w:rsid w:val="00E53946"/>
    <w:rsid w:val="00E54677"/>
    <w:rsid w:val="00E547E1"/>
    <w:rsid w:val="00E66576"/>
    <w:rsid w:val="00E74135"/>
    <w:rsid w:val="00E937EB"/>
    <w:rsid w:val="00EA159F"/>
    <w:rsid w:val="00EA2E84"/>
    <w:rsid w:val="00EA3141"/>
    <w:rsid w:val="00EA3F32"/>
    <w:rsid w:val="00EA6276"/>
    <w:rsid w:val="00EA773B"/>
    <w:rsid w:val="00EB4102"/>
    <w:rsid w:val="00EC1FA8"/>
    <w:rsid w:val="00EC2B4D"/>
    <w:rsid w:val="00EC2E22"/>
    <w:rsid w:val="00EC5CDF"/>
    <w:rsid w:val="00ED5708"/>
    <w:rsid w:val="00ED63E6"/>
    <w:rsid w:val="00ED6657"/>
    <w:rsid w:val="00ED7AE2"/>
    <w:rsid w:val="00EE2BE5"/>
    <w:rsid w:val="00EF043F"/>
    <w:rsid w:val="00EF5CF7"/>
    <w:rsid w:val="00F078D6"/>
    <w:rsid w:val="00F1170D"/>
    <w:rsid w:val="00F14CCF"/>
    <w:rsid w:val="00F1565E"/>
    <w:rsid w:val="00F2367B"/>
    <w:rsid w:val="00F31816"/>
    <w:rsid w:val="00F326EC"/>
    <w:rsid w:val="00F365A0"/>
    <w:rsid w:val="00F422C5"/>
    <w:rsid w:val="00F44A5D"/>
    <w:rsid w:val="00F45029"/>
    <w:rsid w:val="00F46567"/>
    <w:rsid w:val="00F4663A"/>
    <w:rsid w:val="00F50ADC"/>
    <w:rsid w:val="00F5410E"/>
    <w:rsid w:val="00F57A45"/>
    <w:rsid w:val="00F61D4D"/>
    <w:rsid w:val="00F74812"/>
    <w:rsid w:val="00F838E9"/>
    <w:rsid w:val="00F85C9E"/>
    <w:rsid w:val="00F86473"/>
    <w:rsid w:val="00F8744B"/>
    <w:rsid w:val="00F94D1D"/>
    <w:rsid w:val="00F95D93"/>
    <w:rsid w:val="00FA1D61"/>
    <w:rsid w:val="00FA61FA"/>
    <w:rsid w:val="00FB2B2E"/>
    <w:rsid w:val="00FB32B5"/>
    <w:rsid w:val="00FB379E"/>
    <w:rsid w:val="00FB54E5"/>
    <w:rsid w:val="00FB5D70"/>
    <w:rsid w:val="00FC0F77"/>
    <w:rsid w:val="00FC25A5"/>
    <w:rsid w:val="00FC47DF"/>
    <w:rsid w:val="00FC54E9"/>
    <w:rsid w:val="00FC71A4"/>
    <w:rsid w:val="00FC7518"/>
    <w:rsid w:val="00FD049E"/>
    <w:rsid w:val="00FD05C9"/>
    <w:rsid w:val="00FD3720"/>
    <w:rsid w:val="00FE0488"/>
    <w:rsid w:val="00FF238E"/>
    <w:rsid w:val="00FF4309"/>
    <w:rsid w:val="00FF6DF9"/>
    <w:rsid w:val="057F13E1"/>
    <w:rsid w:val="24BC32DA"/>
    <w:rsid w:val="2C3A210E"/>
    <w:rsid w:val="3A830B88"/>
    <w:rsid w:val="53E605A8"/>
    <w:rsid w:val="54FA013D"/>
    <w:rsid w:val="5A372751"/>
    <w:rsid w:val="73307147"/>
    <w:rsid w:val="79AD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7303"/>
  <w15:docId w15:val="{08AE351F-07E8-4703-93A0-9F4BB6D0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20"/>
    <w:qFormat/>
    <w:pPr>
      <w:jc w:val="left"/>
    </w:pPr>
  </w:style>
  <w:style w:type="paragraph" w:styleId="a5">
    <w:name w:val="Body Text"/>
    <w:basedOn w:val="a"/>
    <w:link w:val="1"/>
    <w:qFormat/>
    <w:pPr>
      <w:spacing w:line="360" w:lineRule="auto"/>
    </w:pPr>
    <w:rPr>
      <w:rFonts w:ascii="仿宋_GB2312" w:eastAsia="仿宋_GB2312"/>
      <w:color w:val="000000"/>
      <w:kern w:val="0"/>
      <w:sz w:val="24"/>
      <w:szCs w:val="28"/>
    </w:rPr>
  </w:style>
  <w:style w:type="paragraph" w:styleId="a6">
    <w:name w:val="Body Text Indent"/>
    <w:basedOn w:val="a"/>
    <w:link w:val="10"/>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2">
    <w:name w:val="Body Text Indent 2"/>
    <w:basedOn w:val="a"/>
    <w:link w:val="210"/>
    <w:qFormat/>
    <w:pPr>
      <w:spacing w:line="360" w:lineRule="auto"/>
      <w:ind w:firstLine="525"/>
    </w:pPr>
    <w:rPr>
      <w:rFonts w:ascii="宋体" w:hAnsi="宋体"/>
      <w:sz w:val="28"/>
      <w:szCs w:val="20"/>
    </w:rPr>
  </w:style>
  <w:style w:type="paragraph" w:styleId="a7">
    <w:name w:val="Balloon Text"/>
    <w:basedOn w:val="a"/>
    <w:link w:val="11"/>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13"/>
    <w:qFormat/>
    <w:rPr>
      <w:b/>
      <w:bCs/>
    </w:rPr>
  </w:style>
  <w:style w:type="character" w:styleId="ae">
    <w:name w:val="Strong"/>
    <w:qFormat/>
    <w:rPr>
      <w:b/>
      <w:bCs/>
    </w:rPr>
  </w:style>
  <w:style w:type="character" w:styleId="af">
    <w:name w:val="page number"/>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14">
    <w:name w:val="批注文字 字符1"/>
    <w:qFormat/>
    <w:rPr>
      <w:rFonts w:ascii="Times New Roman" w:eastAsia="宋体" w:hAnsi="Times New Roman" w:cs="Times New Roman"/>
      <w:szCs w:val="24"/>
    </w:rPr>
  </w:style>
  <w:style w:type="character" w:customStyle="1" w:styleId="210">
    <w:name w:val="正文文本缩进 2 字符1"/>
    <w:link w:val="22"/>
    <w:qFormat/>
    <w:rPr>
      <w:rFonts w:ascii="宋体" w:eastAsia="宋体" w:hAnsi="宋体" w:cs="Times New Roman"/>
      <w:sz w:val="28"/>
      <w:szCs w:val="20"/>
    </w:rPr>
  </w:style>
  <w:style w:type="character" w:customStyle="1" w:styleId="ab">
    <w:name w:val="页眉 字符"/>
    <w:link w:val="aa"/>
    <w:uiPriority w:val="99"/>
    <w:qFormat/>
    <w:rPr>
      <w:sz w:val="18"/>
      <w:szCs w:val="18"/>
    </w:rPr>
  </w:style>
  <w:style w:type="character" w:customStyle="1" w:styleId="24">
    <w:name w:val="标题 2 字符"/>
    <w:uiPriority w:val="9"/>
    <w:semiHidden/>
    <w:qFormat/>
    <w:rPr>
      <w:rFonts w:ascii="等线 Light" w:eastAsia="等线 Light" w:hAnsi="等线 Light" w:cs="Times New Roman"/>
      <w:b/>
      <w:bCs/>
      <w:sz w:val="32"/>
      <w:szCs w:val="32"/>
    </w:rPr>
  </w:style>
  <w:style w:type="character" w:customStyle="1" w:styleId="32">
    <w:name w:val="正文文本缩进 3 字符"/>
    <w:uiPriority w:val="99"/>
    <w:semiHidden/>
    <w:qFormat/>
    <w:rPr>
      <w:rFonts w:ascii="Times New Roman" w:eastAsia="宋体" w:hAnsi="Times New Roman" w:cs="Times New Roman"/>
      <w:sz w:val="16"/>
      <w:szCs w:val="16"/>
    </w:rPr>
  </w:style>
  <w:style w:type="character" w:customStyle="1" w:styleId="HTML1">
    <w:name w:val="HTML 预设格式 字符1"/>
    <w:link w:val="HTML"/>
    <w:uiPriority w:val="99"/>
    <w:qFormat/>
    <w:rPr>
      <w:rFonts w:ascii="宋体" w:eastAsia="宋体" w:hAnsi="宋体" w:cs="宋体"/>
      <w:kern w:val="0"/>
      <w:sz w:val="24"/>
      <w:szCs w:val="24"/>
    </w:rPr>
  </w:style>
  <w:style w:type="character" w:customStyle="1" w:styleId="20">
    <w:name w:val="批注文字 字符2"/>
    <w:link w:val="a4"/>
    <w:qFormat/>
    <w:rPr>
      <w:rFonts w:ascii="Times New Roman" w:eastAsia="宋体" w:hAnsi="Times New Roman" w:cs="Times New Roman"/>
      <w:szCs w:val="24"/>
    </w:rPr>
  </w:style>
  <w:style w:type="character" w:customStyle="1" w:styleId="af3">
    <w:name w:val="正文文本缩进 字符"/>
    <w:uiPriority w:val="99"/>
    <w:semiHidden/>
    <w:qFormat/>
    <w:rPr>
      <w:rFonts w:ascii="Times New Roman" w:eastAsia="宋体" w:hAnsi="Times New Roman" w:cs="Times New Roman"/>
      <w:szCs w:val="24"/>
    </w:rPr>
  </w:style>
  <w:style w:type="character" w:customStyle="1" w:styleId="af4">
    <w:name w:val="批注主题 字符"/>
    <w:uiPriority w:val="99"/>
    <w:semiHidden/>
    <w:qFormat/>
    <w:rPr>
      <w:rFonts w:ascii="Times New Roman" w:eastAsia="宋体" w:hAnsi="Times New Roman" w:cs="Times New Roman"/>
      <w:b/>
      <w:bCs/>
      <w:szCs w:val="24"/>
    </w:rPr>
  </w:style>
  <w:style w:type="character" w:customStyle="1" w:styleId="af5">
    <w:name w:val="批注框文本 字符"/>
    <w:uiPriority w:val="99"/>
    <w:semiHidden/>
    <w:qFormat/>
    <w:rPr>
      <w:rFonts w:ascii="Times New Roman" w:eastAsia="宋体" w:hAnsi="Times New Roman" w:cs="Times New Roman"/>
      <w:sz w:val="18"/>
      <w:szCs w:val="18"/>
    </w:rPr>
  </w:style>
  <w:style w:type="character" w:customStyle="1" w:styleId="11">
    <w:name w:val="批注框文本 字符1"/>
    <w:link w:val="a7"/>
    <w:semiHidden/>
    <w:qFormat/>
    <w:rPr>
      <w:rFonts w:ascii="Times New Roman" w:eastAsia="宋体" w:hAnsi="Times New Roman" w:cs="Times New Roman"/>
      <w:sz w:val="18"/>
      <w:szCs w:val="18"/>
    </w:rPr>
  </w:style>
  <w:style w:type="character" w:customStyle="1" w:styleId="Char1">
    <w:name w:val="批注文字 Char1"/>
    <w:qFormat/>
    <w:rPr>
      <w:rFonts w:ascii="Times New Roman" w:eastAsia="宋体" w:hAnsi="Times New Roman" w:cs="Times New Roman"/>
      <w:szCs w:val="24"/>
    </w:rPr>
  </w:style>
  <w:style w:type="character" w:customStyle="1" w:styleId="af6">
    <w:name w:val="批注文字 字符"/>
    <w:semiHidden/>
    <w:qFormat/>
    <w:rPr>
      <w:rFonts w:ascii="Times New Roman" w:eastAsia="宋体" w:hAnsi="Times New Roman" w:cs="Times New Roman"/>
      <w:szCs w:val="24"/>
    </w:rPr>
  </w:style>
  <w:style w:type="character" w:customStyle="1" w:styleId="read">
    <w:name w:val="read"/>
    <w:qFormat/>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13">
    <w:name w:val="批注主题 字符1"/>
    <w:link w:val="ad"/>
    <w:qFormat/>
    <w:rPr>
      <w:rFonts w:ascii="Times New Roman" w:eastAsia="宋体" w:hAnsi="Times New Roman" w:cs="Times New Roman"/>
      <w:b/>
      <w:bCs/>
      <w:szCs w:val="24"/>
    </w:rPr>
  </w:style>
  <w:style w:type="character" w:customStyle="1" w:styleId="25">
    <w:name w:val="正文文本缩进 2 字符"/>
    <w:uiPriority w:val="99"/>
    <w:semiHidden/>
    <w:qFormat/>
    <w:rPr>
      <w:rFonts w:ascii="Times New Roman" w:eastAsia="宋体" w:hAnsi="Times New Roman" w:cs="Times New Roman"/>
      <w:szCs w:val="24"/>
    </w:rPr>
  </w:style>
  <w:style w:type="character" w:customStyle="1" w:styleId="Char">
    <w:name w:val="页脚 Char"/>
    <w:uiPriority w:val="99"/>
    <w:qFormat/>
    <w:rPr>
      <w:sz w:val="18"/>
      <w:szCs w:val="18"/>
    </w:rPr>
  </w:style>
  <w:style w:type="character" w:customStyle="1" w:styleId="Char0">
    <w:name w:val="页眉 Char"/>
    <w:uiPriority w:val="99"/>
    <w:qFormat/>
    <w:rPr>
      <w:sz w:val="18"/>
      <w:szCs w:val="18"/>
    </w:rPr>
  </w:style>
  <w:style w:type="character" w:customStyle="1" w:styleId="31">
    <w:name w:val="正文文本缩进 3 字符1"/>
    <w:link w:val="30"/>
    <w:qFormat/>
    <w:rPr>
      <w:rFonts w:ascii="仿宋_GB2312" w:eastAsia="仿宋_GB2312" w:hAnsi="宋体" w:cs="Arial"/>
      <w:color w:val="000000"/>
      <w:sz w:val="24"/>
      <w:szCs w:val="24"/>
    </w:rPr>
  </w:style>
  <w:style w:type="character" w:customStyle="1" w:styleId="a9">
    <w:name w:val="页脚 字符"/>
    <w:link w:val="a8"/>
    <w:uiPriority w:val="99"/>
    <w:qFormat/>
    <w:rPr>
      <w:sz w:val="18"/>
      <w:szCs w:val="18"/>
    </w:rPr>
  </w:style>
  <w:style w:type="character" w:customStyle="1" w:styleId="21">
    <w:name w:val="标题 2 字符1"/>
    <w:link w:val="2"/>
    <w:qFormat/>
    <w:rPr>
      <w:rFonts w:ascii="Arial" w:eastAsia="黑体" w:hAnsi="Arial" w:cs="Times New Roman"/>
      <w:b/>
      <w:sz w:val="32"/>
      <w:szCs w:val="20"/>
    </w:rPr>
  </w:style>
  <w:style w:type="character" w:customStyle="1" w:styleId="10">
    <w:name w:val="正文文本缩进 字符1"/>
    <w:link w:val="a6"/>
    <w:qFormat/>
    <w:rPr>
      <w:rFonts w:ascii="Times New Roman" w:eastAsia="方正仿宋简体" w:hAnsi="Times New Roman" w:cs="Times New Roman"/>
      <w:sz w:val="24"/>
      <w:szCs w:val="30"/>
    </w:rPr>
  </w:style>
  <w:style w:type="character" w:customStyle="1" w:styleId="1">
    <w:name w:val="正文文本 字符1"/>
    <w:link w:val="a5"/>
    <w:qFormat/>
    <w:rPr>
      <w:rFonts w:ascii="仿宋_GB2312" w:eastAsia="仿宋_GB2312" w:hAnsi="Times New Roman" w:cs="Times New Roman"/>
      <w:color w:val="000000"/>
      <w:kern w:val="0"/>
      <w:sz w:val="24"/>
      <w:szCs w:val="28"/>
    </w:rPr>
  </w:style>
  <w:style w:type="character" w:customStyle="1" w:styleId="af7">
    <w:name w:val="正文文本 字符"/>
    <w:uiPriority w:val="99"/>
    <w:semiHidden/>
    <w:qFormat/>
    <w:rPr>
      <w:rFonts w:ascii="Times New Roman" w:eastAsia="宋体" w:hAnsi="Times New Roman" w:cs="Times New Roman"/>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Char2">
    <w:name w:val="Char"/>
    <w:basedOn w:val="a"/>
    <w:qFormat/>
  </w:style>
  <w:style w:type="paragraph" w:customStyle="1" w:styleId="15">
    <w:name w:val="修订1"/>
    <w:uiPriority w:val="99"/>
    <w:semiHidden/>
    <w:qFormat/>
    <w:rPr>
      <w:rFonts w:ascii="Times New Roman" w:hAnsi="Times New Roman"/>
      <w:kern w:val="2"/>
      <w:sz w:val="21"/>
      <w:szCs w:val="24"/>
    </w:rPr>
  </w:style>
  <w:style w:type="paragraph" w:customStyle="1" w:styleId="CharCharCharCharCharCharChar1CharCharCharCharCharChar">
    <w:name w:val="Char Char Char Char Char Char Char1 Char Char Char Char Char Char"/>
    <w:basedOn w:val="a"/>
    <w:qFormat/>
  </w:style>
  <w:style w:type="paragraph" w:customStyle="1" w:styleId="26">
    <w:name w:val="修订2"/>
    <w:hidden/>
    <w:uiPriority w:val="99"/>
    <w:semiHidden/>
    <w:qFormat/>
    <w:rPr>
      <w:rFonts w:ascii="Times New Roman" w:hAnsi="Times New Roman"/>
      <w:kern w:val="2"/>
      <w:sz w:val="21"/>
      <w:szCs w:val="24"/>
    </w:rPr>
  </w:style>
  <w:style w:type="paragraph" w:styleId="af8">
    <w:name w:val="Revision"/>
    <w:hidden/>
    <w:uiPriority w:val="99"/>
    <w:semiHidden/>
    <w:rsid w:val="0077479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0561-B5B0-4F5B-ADC8-4DB5EE0D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41</Pages>
  <Words>4681</Words>
  <Characters>26684</Characters>
  <Application>Microsoft Office Word</Application>
  <DocSecurity>0</DocSecurity>
  <Lines>222</Lines>
  <Paragraphs>62</Paragraphs>
  <ScaleCrop>false</ScaleCrop>
  <Company>神州网信技术有限公司</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晁梦婷</cp:lastModifiedBy>
  <cp:revision>41</cp:revision>
  <cp:lastPrinted>2024-06-18T06:17:00Z</cp:lastPrinted>
  <dcterms:created xsi:type="dcterms:W3CDTF">2025-03-17T07:14:00Z</dcterms:created>
  <dcterms:modified xsi:type="dcterms:W3CDTF">2025-08-08T01:25:00Z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F2CF8C89592B4F3B9FA45E3DADACFB95</vt:lpwstr>
  </property>
</Properties>
</file>